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D4D" w:rsidRDefault="00BD4D4D" w:rsidP="00093ACC">
      <w:pPr>
        <w:jc w:val="center"/>
        <w:rPr>
          <w:b/>
          <w:sz w:val="28"/>
          <w:szCs w:val="28"/>
        </w:rPr>
      </w:pPr>
    </w:p>
    <w:p w:rsidR="00093ACC" w:rsidRPr="00EB3712" w:rsidRDefault="000105A1" w:rsidP="00093ACC">
      <w:pPr>
        <w:jc w:val="center"/>
        <w:rPr>
          <w:b/>
          <w:sz w:val="30"/>
          <w:szCs w:val="28"/>
        </w:rPr>
      </w:pPr>
      <w:r w:rsidRPr="00EB3712">
        <w:rPr>
          <w:noProof/>
        </w:rPr>
        <w:drawing>
          <wp:inline distT="0" distB="0" distL="0" distR="0">
            <wp:extent cx="638175" cy="800100"/>
            <wp:effectExtent l="0" t="0" r="0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D4D4D" w:rsidRPr="00BD4D4D">
        <w:rPr>
          <w:b/>
          <w:sz w:val="28"/>
          <w:szCs w:val="28"/>
        </w:rPr>
        <w:t xml:space="preserve"> 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Администрация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муниципального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образования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«Поселок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Амдерма»</w:t>
      </w:r>
    </w:p>
    <w:p w:rsidR="00093ACC" w:rsidRPr="00EB3712" w:rsidRDefault="00093ACC" w:rsidP="00093ACC">
      <w:pPr>
        <w:jc w:val="center"/>
        <w:rPr>
          <w:b/>
          <w:sz w:val="30"/>
          <w:szCs w:val="28"/>
        </w:rPr>
      </w:pPr>
      <w:r w:rsidRPr="00EB3712">
        <w:rPr>
          <w:b/>
          <w:sz w:val="30"/>
          <w:szCs w:val="28"/>
        </w:rPr>
        <w:t>Ненецкого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автономного</w:t>
      </w:r>
      <w:r w:rsidR="001A3696" w:rsidRPr="00EB3712">
        <w:rPr>
          <w:b/>
          <w:sz w:val="30"/>
          <w:szCs w:val="28"/>
        </w:rPr>
        <w:t xml:space="preserve"> </w:t>
      </w:r>
      <w:r w:rsidRPr="00EB3712">
        <w:rPr>
          <w:b/>
          <w:sz w:val="30"/>
          <w:szCs w:val="28"/>
        </w:rPr>
        <w:t>округа</w:t>
      </w:r>
    </w:p>
    <w:p w:rsidR="00093ACC" w:rsidRPr="00EB3712" w:rsidRDefault="00093ACC" w:rsidP="00093ACC">
      <w:pPr>
        <w:jc w:val="center"/>
        <w:rPr>
          <w:b/>
        </w:rPr>
      </w:pPr>
    </w:p>
    <w:p w:rsidR="00093ACC" w:rsidRPr="0044673A" w:rsidRDefault="00093ACC" w:rsidP="00093ACC">
      <w:pPr>
        <w:jc w:val="center"/>
        <w:rPr>
          <w:b/>
          <w:sz w:val="26"/>
          <w:szCs w:val="26"/>
        </w:rPr>
      </w:pPr>
      <w:r w:rsidRPr="0044673A">
        <w:rPr>
          <w:b/>
          <w:sz w:val="26"/>
          <w:szCs w:val="26"/>
        </w:rPr>
        <w:t>(Администрация МО «Поселок Амдерма» НАО)</w:t>
      </w:r>
    </w:p>
    <w:p w:rsidR="00093ACC" w:rsidRPr="0044673A" w:rsidRDefault="00093ACC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93ACC" w:rsidRPr="00EB3712" w:rsidRDefault="00D32DF1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  <w:sz w:val="30"/>
        </w:rPr>
      </w:pPr>
      <w:r w:rsidRPr="00EB3712">
        <w:rPr>
          <w:b/>
          <w:bCs/>
          <w:caps/>
          <w:sz w:val="30"/>
        </w:rPr>
        <w:t>постановление</w:t>
      </w:r>
    </w:p>
    <w:p w:rsidR="00093ACC" w:rsidRPr="00EB3712" w:rsidRDefault="00093ACC" w:rsidP="00093AC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853AF8" w:rsidRPr="00EB3712" w:rsidRDefault="00401FF8" w:rsidP="005447F5">
      <w:pPr>
        <w:jc w:val="both"/>
        <w:rPr>
          <w:b/>
          <w:sz w:val="28"/>
          <w:szCs w:val="28"/>
        </w:rPr>
      </w:pP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  <w:r w:rsidRPr="00EB3712">
        <w:rPr>
          <w:b/>
          <w:sz w:val="28"/>
          <w:szCs w:val="28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  <w:gridCol w:w="3826"/>
      </w:tblGrid>
      <w:tr w:rsidR="00894A97" w:rsidRPr="00894A97" w:rsidTr="000C1390">
        <w:tc>
          <w:tcPr>
            <w:tcW w:w="5529" w:type="dxa"/>
          </w:tcPr>
          <w:p w:rsidR="00894A97" w:rsidRPr="00360FD5" w:rsidRDefault="00827C76" w:rsidP="00401DE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  <w:r w:rsidR="00894A97" w:rsidRPr="00360FD5">
              <w:rPr>
                <w:b/>
                <w:bCs/>
                <w:sz w:val="26"/>
                <w:szCs w:val="26"/>
              </w:rPr>
              <w:t xml:space="preserve">0 </w:t>
            </w:r>
            <w:r w:rsidR="00401DE1" w:rsidRPr="00360FD5">
              <w:rPr>
                <w:b/>
                <w:bCs/>
                <w:sz w:val="26"/>
                <w:szCs w:val="26"/>
              </w:rPr>
              <w:t>сентября</w:t>
            </w:r>
            <w:r w:rsidR="00894A97" w:rsidRPr="00360FD5">
              <w:rPr>
                <w:b/>
                <w:bCs/>
                <w:sz w:val="26"/>
                <w:szCs w:val="26"/>
              </w:rPr>
              <w:t xml:space="preserve"> 2020 года</w:t>
            </w:r>
          </w:p>
        </w:tc>
        <w:tc>
          <w:tcPr>
            <w:tcW w:w="3826" w:type="dxa"/>
          </w:tcPr>
          <w:p w:rsidR="00894A97" w:rsidRPr="00360FD5" w:rsidRDefault="00827C76" w:rsidP="00894A9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 96</w:t>
            </w:r>
            <w:r w:rsidR="00894A97" w:rsidRPr="00360FD5">
              <w:rPr>
                <w:b/>
                <w:bCs/>
                <w:sz w:val="26"/>
                <w:szCs w:val="26"/>
              </w:rPr>
              <w:t>– П</w:t>
            </w:r>
          </w:p>
        </w:tc>
      </w:tr>
      <w:tr w:rsidR="00894A97" w:rsidRPr="00894A97" w:rsidTr="000C1390">
        <w:trPr>
          <w:trHeight w:val="369"/>
        </w:trPr>
        <w:tc>
          <w:tcPr>
            <w:tcW w:w="5529" w:type="dxa"/>
            <w:vAlign w:val="center"/>
          </w:tcPr>
          <w:p w:rsidR="00894A97" w:rsidRDefault="00894A97" w:rsidP="00894A97">
            <w:pPr>
              <w:ind w:firstLine="567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</w:p>
          <w:p w:rsidR="00894A97" w:rsidRPr="00894A97" w:rsidRDefault="00894A97" w:rsidP="00894A97">
            <w:pPr>
              <w:ind w:firstLine="567"/>
              <w:jc w:val="both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94A97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Об утверждении </w:t>
            </w:r>
            <w:hyperlink w:anchor="P32" w:history="1">
              <w:r w:rsidRPr="00894A97">
                <w:rPr>
                  <w:rFonts w:eastAsia="Calibri"/>
                  <w:b/>
                  <w:color w:val="000000"/>
                  <w:sz w:val="24"/>
                  <w:szCs w:val="24"/>
                  <w:lang w:eastAsia="en-US"/>
                </w:rPr>
                <w:t>программ</w:t>
              </w:r>
            </w:hyperlink>
            <w:r w:rsidRPr="00894A97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ы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2021 год</w:t>
            </w:r>
          </w:p>
          <w:p w:rsidR="00894A97" w:rsidRPr="00894A97" w:rsidRDefault="00894A97" w:rsidP="00894A9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6" w:type="dxa"/>
          </w:tcPr>
          <w:p w:rsidR="00894A97" w:rsidRPr="00894A97" w:rsidRDefault="00894A97" w:rsidP="00894A9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853AF8" w:rsidRPr="00EB3712" w:rsidRDefault="00853AF8" w:rsidP="002461B7">
      <w:pPr>
        <w:jc w:val="both"/>
        <w:rPr>
          <w:b/>
          <w:sz w:val="28"/>
          <w:szCs w:val="28"/>
        </w:rPr>
      </w:pPr>
    </w:p>
    <w:p w:rsidR="00853AF8" w:rsidRPr="00EB3712" w:rsidRDefault="00853AF8" w:rsidP="00BF5A77">
      <w:pPr>
        <w:ind w:right="4819"/>
        <w:rPr>
          <w:sz w:val="28"/>
          <w:szCs w:val="28"/>
        </w:rPr>
      </w:pPr>
    </w:p>
    <w:p w:rsidR="00550831" w:rsidRPr="007106C8" w:rsidRDefault="00550831" w:rsidP="00550831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8F018E">
        <w:rPr>
          <w:rFonts w:eastAsia="Calibri"/>
          <w:color w:val="000000"/>
          <w:sz w:val="26"/>
          <w:szCs w:val="26"/>
          <w:lang w:eastAsia="en-US"/>
        </w:rPr>
        <w:t xml:space="preserve">В соответствии с </w:t>
      </w:r>
      <w:hyperlink r:id="rId7" w:history="1">
        <w:r w:rsidRPr="008F018E">
          <w:rPr>
            <w:rFonts w:eastAsia="Calibri"/>
            <w:color w:val="000000"/>
            <w:sz w:val="26"/>
            <w:szCs w:val="26"/>
            <w:lang w:eastAsia="en-US"/>
          </w:rPr>
          <w:t>частью 1 статьи 8.2</w:t>
        </w:r>
      </w:hyperlink>
      <w:r w:rsidRPr="008F018E">
        <w:rPr>
          <w:rFonts w:eastAsia="Calibri"/>
          <w:color w:val="000000"/>
          <w:sz w:val="26"/>
          <w:szCs w:val="26"/>
          <w:lang w:eastAsia="en-US"/>
        </w:rPr>
        <w:t xml:space="preserve"> Федерального закона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Порядком  разработки программ профилактики нарушений обязательных требований при осуществлении муниципального контроля, утвержденным постановлением Администрации </w:t>
      </w:r>
      <w:r w:rsidR="00894A97" w:rsidRPr="008F018E">
        <w:rPr>
          <w:rFonts w:eastAsia="Calibri"/>
          <w:color w:val="000000"/>
          <w:sz w:val="26"/>
          <w:szCs w:val="26"/>
          <w:lang w:eastAsia="en-US"/>
        </w:rPr>
        <w:t>муниципального образования «Поселок Амдерма»</w:t>
      </w:r>
      <w:r w:rsidRPr="008F018E">
        <w:rPr>
          <w:rFonts w:eastAsia="Calibri"/>
          <w:color w:val="000000"/>
          <w:sz w:val="26"/>
          <w:szCs w:val="26"/>
          <w:lang w:eastAsia="en-US"/>
        </w:rPr>
        <w:t xml:space="preserve"> Ненецкого автономного округа </w:t>
      </w:r>
      <w:r w:rsidRPr="007106C8">
        <w:rPr>
          <w:rFonts w:eastAsia="Calibri"/>
          <w:sz w:val="26"/>
          <w:szCs w:val="26"/>
          <w:lang w:eastAsia="en-US"/>
        </w:rPr>
        <w:t xml:space="preserve">от </w:t>
      </w:r>
      <w:r w:rsidR="00827C76">
        <w:rPr>
          <w:rFonts w:eastAsia="Calibri"/>
          <w:sz w:val="26"/>
          <w:szCs w:val="26"/>
          <w:lang w:eastAsia="en-US"/>
        </w:rPr>
        <w:t>30.09.2020 № 95</w:t>
      </w:r>
      <w:r w:rsidR="007106C8" w:rsidRPr="007106C8">
        <w:rPr>
          <w:rFonts w:eastAsia="Calibri"/>
          <w:sz w:val="26"/>
          <w:szCs w:val="26"/>
          <w:lang w:eastAsia="en-US"/>
        </w:rPr>
        <w:t>-П</w:t>
      </w:r>
      <w:r w:rsidRPr="007106C8">
        <w:rPr>
          <w:rFonts w:eastAsia="Calibri"/>
          <w:sz w:val="26"/>
          <w:szCs w:val="26"/>
          <w:lang w:eastAsia="en-US"/>
        </w:rPr>
        <w:t>,</w:t>
      </w:r>
    </w:p>
    <w:p w:rsidR="00894A97" w:rsidRPr="008F018E" w:rsidRDefault="00894A97" w:rsidP="00550831">
      <w:pPr>
        <w:autoSpaceDE w:val="0"/>
        <w:autoSpaceDN w:val="0"/>
        <w:adjustRightInd w:val="0"/>
        <w:ind w:firstLine="540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8F0706" w:rsidRPr="008F018E" w:rsidRDefault="008F0706" w:rsidP="008F070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F018E">
        <w:rPr>
          <w:b/>
          <w:sz w:val="26"/>
          <w:szCs w:val="26"/>
        </w:rPr>
        <w:t>АДМИНИСТРАЦИЯ МО «ПОСЕЛОК АМДЕРМА» НАО</w:t>
      </w:r>
    </w:p>
    <w:p w:rsidR="008F0706" w:rsidRPr="008F018E" w:rsidRDefault="008F0706" w:rsidP="008F070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F018E">
        <w:rPr>
          <w:b/>
          <w:sz w:val="26"/>
          <w:szCs w:val="26"/>
        </w:rPr>
        <w:t>ПОСТАНОВЛЯЕТ:</w:t>
      </w:r>
    </w:p>
    <w:p w:rsidR="00853AF8" w:rsidRPr="008F018E" w:rsidRDefault="00853AF8" w:rsidP="00BF5A77">
      <w:pPr>
        <w:jc w:val="center"/>
        <w:rPr>
          <w:b/>
          <w:sz w:val="26"/>
          <w:szCs w:val="26"/>
        </w:rPr>
      </w:pPr>
    </w:p>
    <w:p w:rsidR="00550831" w:rsidRPr="008F018E" w:rsidRDefault="00550831" w:rsidP="00550831">
      <w:pP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8F018E">
        <w:rPr>
          <w:rFonts w:eastAsia="Calibri"/>
          <w:color w:val="000000"/>
          <w:sz w:val="26"/>
          <w:szCs w:val="26"/>
          <w:lang w:eastAsia="en-US"/>
        </w:rPr>
        <w:t xml:space="preserve">1. Утвердить прилагаемую </w:t>
      </w:r>
      <w:hyperlink w:anchor="P32" w:history="1">
        <w:r w:rsidRPr="008F018E">
          <w:rPr>
            <w:rFonts w:eastAsia="Calibri"/>
            <w:color w:val="000000"/>
            <w:sz w:val="26"/>
            <w:szCs w:val="26"/>
            <w:lang w:eastAsia="en-US"/>
          </w:rPr>
          <w:t>Программу</w:t>
        </w:r>
      </w:hyperlink>
      <w:r w:rsidRPr="008F018E">
        <w:rPr>
          <w:rFonts w:eastAsia="Calibri"/>
          <w:color w:val="000000"/>
          <w:sz w:val="26"/>
          <w:szCs w:val="26"/>
          <w:lang w:eastAsia="en-US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2021 год.</w:t>
      </w:r>
    </w:p>
    <w:p w:rsidR="00550831" w:rsidRPr="008F018E" w:rsidRDefault="00550831" w:rsidP="00550831">
      <w:pPr>
        <w:ind w:firstLine="567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550831" w:rsidRPr="008F018E" w:rsidRDefault="00550831" w:rsidP="00550831">
      <w:pPr>
        <w:spacing w:line="276" w:lineRule="auto"/>
        <w:ind w:firstLine="540"/>
        <w:jc w:val="both"/>
        <w:rPr>
          <w:rFonts w:eastAsia="Calibri"/>
          <w:i/>
          <w:color w:val="000000"/>
          <w:sz w:val="26"/>
          <w:szCs w:val="26"/>
          <w:lang w:eastAsia="en-US"/>
        </w:rPr>
      </w:pPr>
      <w:r w:rsidRPr="008F018E">
        <w:rPr>
          <w:rFonts w:eastAsia="Calibri"/>
          <w:color w:val="000000"/>
          <w:sz w:val="26"/>
          <w:szCs w:val="26"/>
          <w:lang w:eastAsia="en-US"/>
        </w:rPr>
        <w:t>2.  Настоящее постановление вступает в силу после его официального опубликования (обнародования).</w:t>
      </w:r>
    </w:p>
    <w:p w:rsidR="003A3709" w:rsidRPr="008F018E" w:rsidRDefault="003A3709" w:rsidP="00773C44">
      <w:pPr>
        <w:spacing w:before="120" w:after="120"/>
        <w:rPr>
          <w:sz w:val="26"/>
          <w:szCs w:val="26"/>
        </w:rPr>
      </w:pPr>
    </w:p>
    <w:p w:rsidR="00853AF8" w:rsidRPr="008F018E" w:rsidRDefault="00853AF8" w:rsidP="00773C44">
      <w:pPr>
        <w:spacing w:before="120" w:after="120"/>
        <w:rPr>
          <w:sz w:val="26"/>
          <w:szCs w:val="26"/>
        </w:rPr>
      </w:pPr>
    </w:p>
    <w:p w:rsidR="00827C76" w:rsidRDefault="00827C76" w:rsidP="004B11D5">
      <w:pPr>
        <w:spacing w:before="120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853AF8" w:rsidRPr="008F018E">
        <w:rPr>
          <w:sz w:val="26"/>
          <w:szCs w:val="26"/>
        </w:rPr>
        <w:t>лав</w:t>
      </w:r>
      <w:r>
        <w:rPr>
          <w:sz w:val="26"/>
          <w:szCs w:val="26"/>
        </w:rPr>
        <w:t>ы Администрации</w:t>
      </w:r>
    </w:p>
    <w:p w:rsidR="00853AF8" w:rsidRPr="008F018E" w:rsidRDefault="00093ACC" w:rsidP="004B11D5">
      <w:pPr>
        <w:spacing w:before="120"/>
        <w:rPr>
          <w:sz w:val="26"/>
          <w:szCs w:val="26"/>
        </w:rPr>
      </w:pPr>
      <w:r w:rsidRPr="008F018E">
        <w:rPr>
          <w:sz w:val="26"/>
          <w:szCs w:val="26"/>
        </w:rPr>
        <w:t xml:space="preserve"> </w:t>
      </w:r>
      <w:r w:rsidR="00853AF8" w:rsidRPr="008F018E">
        <w:rPr>
          <w:sz w:val="26"/>
          <w:szCs w:val="26"/>
        </w:rPr>
        <w:t>МО «Поселок Амдерма» НАО</w:t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20D8E">
        <w:rPr>
          <w:sz w:val="26"/>
          <w:szCs w:val="26"/>
        </w:rPr>
        <w:t xml:space="preserve">       </w:t>
      </w:r>
      <w:r w:rsidR="00853AF8" w:rsidRPr="008F018E">
        <w:rPr>
          <w:sz w:val="26"/>
          <w:szCs w:val="26"/>
        </w:rPr>
        <w:tab/>
      </w:r>
      <w:r w:rsidR="00AE13E8" w:rsidRPr="008F018E">
        <w:rPr>
          <w:sz w:val="26"/>
          <w:szCs w:val="26"/>
        </w:rPr>
        <w:tab/>
      </w:r>
      <w:r w:rsidR="00AE13E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53AF8" w:rsidRPr="008F018E">
        <w:rPr>
          <w:sz w:val="26"/>
          <w:szCs w:val="26"/>
        </w:rPr>
        <w:tab/>
      </w:r>
      <w:r w:rsidR="00820D8E">
        <w:rPr>
          <w:sz w:val="26"/>
          <w:szCs w:val="26"/>
        </w:rPr>
        <w:t>Е.Н. Рыбалка</w:t>
      </w:r>
    </w:p>
    <w:p w:rsidR="00853AF8" w:rsidRPr="008F018E" w:rsidRDefault="00853AF8">
      <w:pPr>
        <w:rPr>
          <w:sz w:val="26"/>
          <w:szCs w:val="26"/>
        </w:rPr>
      </w:pPr>
    </w:p>
    <w:p w:rsidR="005C46E5" w:rsidRPr="005C46E5" w:rsidRDefault="005C46E5" w:rsidP="005C46E5">
      <w:pPr>
        <w:jc w:val="right"/>
        <w:rPr>
          <w:rFonts w:eastAsia="Calibri"/>
          <w:sz w:val="24"/>
          <w:szCs w:val="24"/>
          <w:lang w:eastAsia="en-US"/>
        </w:rPr>
      </w:pPr>
      <w:r w:rsidRPr="005C46E5">
        <w:rPr>
          <w:rFonts w:eastAsia="Calibri"/>
          <w:sz w:val="24"/>
          <w:szCs w:val="24"/>
          <w:lang w:eastAsia="en-US"/>
        </w:rPr>
        <w:lastRenderedPageBreak/>
        <w:t>Утверждена</w:t>
      </w:r>
    </w:p>
    <w:p w:rsidR="005C46E5" w:rsidRPr="005C46E5" w:rsidRDefault="005C46E5" w:rsidP="005C46E5">
      <w:pPr>
        <w:jc w:val="right"/>
        <w:rPr>
          <w:rFonts w:eastAsia="Calibri"/>
          <w:sz w:val="24"/>
          <w:szCs w:val="24"/>
          <w:lang w:eastAsia="en-US"/>
        </w:rPr>
      </w:pPr>
      <w:r w:rsidRPr="005C46E5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:rsidR="005C46E5" w:rsidRPr="005C46E5" w:rsidRDefault="00894A97" w:rsidP="005C46E5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МО «Поселок Амдерма</w:t>
      </w:r>
      <w:r w:rsidR="005C46E5" w:rsidRPr="005C46E5">
        <w:rPr>
          <w:rFonts w:eastAsia="Calibri"/>
          <w:sz w:val="24"/>
          <w:szCs w:val="24"/>
          <w:lang w:eastAsia="en-US"/>
        </w:rPr>
        <w:t xml:space="preserve">» НАО  </w:t>
      </w:r>
    </w:p>
    <w:p w:rsidR="005C46E5" w:rsidRPr="004555DF" w:rsidRDefault="008F018E" w:rsidP="005C46E5">
      <w:pPr>
        <w:jc w:val="right"/>
        <w:rPr>
          <w:rFonts w:eastAsia="Calibri"/>
          <w:caps/>
          <w:sz w:val="24"/>
          <w:szCs w:val="24"/>
          <w:lang w:eastAsia="en-US"/>
        </w:rPr>
      </w:pPr>
      <w:r>
        <w:rPr>
          <w:rFonts w:eastAsia="Calibri"/>
          <w:color w:val="FF0000"/>
          <w:sz w:val="24"/>
          <w:szCs w:val="24"/>
          <w:lang w:eastAsia="en-US"/>
        </w:rPr>
        <w:t xml:space="preserve">        </w:t>
      </w:r>
      <w:r w:rsidR="00827C76">
        <w:rPr>
          <w:rFonts w:eastAsia="Calibri"/>
          <w:sz w:val="24"/>
          <w:szCs w:val="24"/>
          <w:lang w:eastAsia="en-US"/>
        </w:rPr>
        <w:t>от 3</w:t>
      </w:r>
      <w:r w:rsidRPr="004555DF">
        <w:rPr>
          <w:rFonts w:eastAsia="Calibri"/>
          <w:sz w:val="24"/>
          <w:szCs w:val="24"/>
          <w:lang w:eastAsia="en-US"/>
        </w:rPr>
        <w:t>0.09</w:t>
      </w:r>
      <w:r w:rsidR="00827C76">
        <w:rPr>
          <w:rFonts w:eastAsia="Calibri"/>
          <w:sz w:val="24"/>
          <w:szCs w:val="24"/>
          <w:lang w:eastAsia="en-US"/>
        </w:rPr>
        <w:t>.2020 № 96</w:t>
      </w:r>
      <w:r w:rsidR="007106C8" w:rsidRPr="004555DF">
        <w:rPr>
          <w:rFonts w:eastAsia="Calibri"/>
          <w:sz w:val="24"/>
          <w:szCs w:val="24"/>
          <w:lang w:eastAsia="en-US"/>
        </w:rPr>
        <w:t>-П</w:t>
      </w:r>
    </w:p>
    <w:p w:rsidR="005C46E5" w:rsidRPr="005C46E5" w:rsidRDefault="005C46E5" w:rsidP="005C46E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C46E5" w:rsidRPr="005C46E5" w:rsidRDefault="005C46E5" w:rsidP="005C46E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853AF8" w:rsidRPr="00EB3712" w:rsidRDefault="00853AF8" w:rsidP="004214F3">
      <w:pPr>
        <w:rPr>
          <w:b/>
          <w:sz w:val="24"/>
        </w:rPr>
      </w:pPr>
    </w:p>
    <w:p w:rsidR="00853AF8" w:rsidRPr="00EB3712" w:rsidRDefault="00853AF8" w:rsidP="004214F3">
      <w:pPr>
        <w:rPr>
          <w:b/>
          <w:sz w:val="24"/>
        </w:rPr>
      </w:pPr>
    </w:p>
    <w:p w:rsidR="00921C17" w:rsidRPr="00921C17" w:rsidRDefault="00594243" w:rsidP="00594243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Программа</w:t>
      </w:r>
    </w:p>
    <w:p w:rsidR="00921C17" w:rsidRPr="00921C17" w:rsidRDefault="00921C17" w:rsidP="00921C17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921C17">
        <w:rPr>
          <w:b/>
          <w:color w:val="000000"/>
          <w:sz w:val="24"/>
          <w:szCs w:val="24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</w:t>
      </w:r>
      <w:r w:rsidRPr="00921C17">
        <w:rPr>
          <w:rFonts w:cs="Calibri"/>
          <w:b/>
          <w:color w:val="000000"/>
          <w:sz w:val="24"/>
          <w:szCs w:val="24"/>
        </w:rPr>
        <w:t>21</w:t>
      </w:r>
      <w:r w:rsidRPr="00921C17">
        <w:rPr>
          <w:b/>
          <w:color w:val="000000"/>
          <w:sz w:val="24"/>
          <w:szCs w:val="24"/>
        </w:rPr>
        <w:t xml:space="preserve"> год</w:t>
      </w:r>
    </w:p>
    <w:p w:rsidR="00921C17" w:rsidRPr="00921C17" w:rsidRDefault="00921C17" w:rsidP="00921C17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921C17" w:rsidRPr="00921C17" w:rsidRDefault="00921C17" w:rsidP="00921C17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921C17" w:rsidRPr="00921C17" w:rsidRDefault="00921C17" w:rsidP="00921C17">
      <w:pPr>
        <w:numPr>
          <w:ilvl w:val="0"/>
          <w:numId w:val="28"/>
        </w:num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</w:rPr>
        <w:t>Аналитическая часть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color w:val="000000"/>
          <w:sz w:val="24"/>
          <w:szCs w:val="24"/>
          <w:lang w:eastAsia="en-US"/>
        </w:rPr>
        <w:t>Муниципальную функцию по осуществлению муниципального жилищного контрол</w:t>
      </w:r>
      <w:r w:rsidR="00894A97">
        <w:rPr>
          <w:rFonts w:eastAsia="Calibri"/>
          <w:color w:val="000000"/>
          <w:sz w:val="24"/>
          <w:szCs w:val="24"/>
          <w:lang w:eastAsia="en-US"/>
        </w:rPr>
        <w:t xml:space="preserve">я на территории муниципального </w:t>
      </w:r>
      <w:r w:rsidRPr="00921C17">
        <w:rPr>
          <w:rFonts w:eastAsia="Calibri"/>
          <w:color w:val="000000"/>
          <w:sz w:val="24"/>
          <w:szCs w:val="24"/>
          <w:lang w:eastAsia="en-US"/>
        </w:rPr>
        <w:t xml:space="preserve">образования </w:t>
      </w:r>
      <w:r w:rsidR="00894A97">
        <w:rPr>
          <w:rFonts w:eastAsia="Calibri"/>
          <w:color w:val="000000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color w:val="000000"/>
          <w:sz w:val="24"/>
          <w:szCs w:val="24"/>
          <w:lang w:eastAsia="en-US"/>
        </w:rPr>
        <w:t xml:space="preserve">» Ненецкого автономного округа исполняет Администрация муниципального образования </w:t>
      </w:r>
      <w:r w:rsidR="00894A97">
        <w:rPr>
          <w:rFonts w:eastAsia="Calibri"/>
          <w:color w:val="000000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color w:val="000000"/>
          <w:sz w:val="24"/>
          <w:szCs w:val="24"/>
          <w:lang w:eastAsia="en-US"/>
        </w:rPr>
        <w:t>» Ненецкого автономного округа (далее – Администрация муниципального образования, орган муниципального жилищного контроля).</w:t>
      </w:r>
    </w:p>
    <w:p w:rsidR="00921C17" w:rsidRPr="00921C17" w:rsidRDefault="00921C17" w:rsidP="00921C17">
      <w:pPr>
        <w:ind w:firstLine="567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921C17">
        <w:rPr>
          <w:rFonts w:eastAsia="Calibri"/>
          <w:color w:val="000000"/>
          <w:sz w:val="24"/>
          <w:szCs w:val="24"/>
          <w:lang w:eastAsia="en-US"/>
        </w:rPr>
        <w:t xml:space="preserve">Сроки и последовательность административных процедур (действий) Администрации муниципального образования, порядок взаимодействия между его структурными подразделениями и должностными лицами, а также порядок взаимодействия Администрации муниципального образования с иными органами местного самоуправления, органами государственной власти, организациями, индивидуальными предпринимателями и юридическими лицами при </w:t>
      </w:r>
      <w:r w:rsidRPr="004555DF">
        <w:rPr>
          <w:rFonts w:eastAsia="Calibri"/>
          <w:color w:val="000000"/>
          <w:sz w:val="24"/>
          <w:szCs w:val="24"/>
          <w:lang w:eastAsia="en-US"/>
        </w:rPr>
        <w:t xml:space="preserve">осуществлении муниципального жилищного контроля реализуются в соответствии с  </w:t>
      </w:r>
      <w:r w:rsidRPr="004555DF">
        <w:rPr>
          <w:rFonts w:eastAsia="Calibri"/>
          <w:sz w:val="24"/>
          <w:szCs w:val="24"/>
          <w:lang w:eastAsia="en-US"/>
        </w:rPr>
        <w:t xml:space="preserve">Административным регламентом исполнения муниципальной функции по осуществлению муниципального жилищного контроля на территории муниципального  образования </w:t>
      </w:r>
      <w:r w:rsidR="00894A97" w:rsidRPr="004555DF">
        <w:rPr>
          <w:rFonts w:eastAsia="Calibri"/>
          <w:sz w:val="24"/>
          <w:szCs w:val="24"/>
          <w:lang w:eastAsia="en-US"/>
        </w:rPr>
        <w:t>«Поселок Амдерма</w:t>
      </w:r>
      <w:r w:rsidRPr="004555DF">
        <w:rPr>
          <w:rFonts w:eastAsia="Calibri"/>
          <w:sz w:val="24"/>
          <w:szCs w:val="24"/>
          <w:lang w:eastAsia="en-US"/>
        </w:rPr>
        <w:t xml:space="preserve">» Ненецкого автономного округа, утвержденным постановлением Администрации муниципального образования </w:t>
      </w:r>
      <w:r w:rsidR="00894A97" w:rsidRPr="004555DF">
        <w:rPr>
          <w:rFonts w:eastAsia="Calibri"/>
          <w:sz w:val="24"/>
          <w:szCs w:val="24"/>
          <w:lang w:eastAsia="en-US"/>
        </w:rPr>
        <w:t>«Поселок Амдерма</w:t>
      </w:r>
      <w:r w:rsidRPr="004555DF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="004555DF" w:rsidRPr="004555DF">
        <w:rPr>
          <w:rFonts w:eastAsia="Calibri"/>
          <w:sz w:val="24"/>
          <w:szCs w:val="24"/>
          <w:lang w:eastAsia="en-US"/>
        </w:rPr>
        <w:t>от 14.11</w:t>
      </w:r>
      <w:r w:rsidRPr="004555DF">
        <w:rPr>
          <w:rFonts w:eastAsia="Calibri"/>
          <w:sz w:val="24"/>
          <w:szCs w:val="24"/>
          <w:lang w:eastAsia="en-US"/>
        </w:rPr>
        <w:t xml:space="preserve">.2013 № </w:t>
      </w:r>
      <w:r w:rsidR="004555DF" w:rsidRPr="004555DF">
        <w:rPr>
          <w:rFonts w:eastAsia="Calibri"/>
          <w:sz w:val="24"/>
          <w:szCs w:val="24"/>
          <w:lang w:eastAsia="en-US"/>
        </w:rPr>
        <w:t>121</w:t>
      </w:r>
      <w:r w:rsidR="004555DF">
        <w:rPr>
          <w:rFonts w:eastAsia="Calibri"/>
          <w:sz w:val="24"/>
          <w:szCs w:val="24"/>
          <w:lang w:eastAsia="en-US"/>
        </w:rPr>
        <w:t>-П</w:t>
      </w:r>
      <w:r w:rsidRPr="004555DF">
        <w:rPr>
          <w:rFonts w:eastAsia="Calibri"/>
          <w:sz w:val="24"/>
          <w:szCs w:val="24"/>
          <w:lang w:eastAsia="en-US"/>
        </w:rPr>
        <w:t xml:space="preserve"> (далее</w:t>
      </w:r>
      <w:r w:rsidRPr="00921C17">
        <w:rPr>
          <w:rFonts w:eastAsia="Calibri"/>
          <w:sz w:val="24"/>
          <w:szCs w:val="24"/>
          <w:lang w:eastAsia="en-US"/>
        </w:rPr>
        <w:t xml:space="preserve"> - Административный регламент исполнения муниципальной функции по осуществлению муниципального жилищного контроля на территории МО </w:t>
      </w:r>
      <w:r w:rsidR="00894A97">
        <w:rPr>
          <w:rFonts w:eastAsia="Calibri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sz w:val="24"/>
          <w:szCs w:val="24"/>
          <w:lang w:eastAsia="en-US"/>
        </w:rPr>
        <w:t>» НАО).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 xml:space="preserve">Муниципальный жилищный контроль осуществляется муниципальными жилищными инспекторами путем проведения плановых и внеплановых проверок юридических лиц и индивидуальных предпринимателей, осуществляющих эксплуатацию многоквартирных домов, с учетом соблюдения требований, установленных Федеральным </w:t>
      </w:r>
      <w:hyperlink r:id="rId8" w:history="1">
        <w:r w:rsidRPr="00921C17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921C17">
        <w:rPr>
          <w:rFonts w:eastAsia="Calibri"/>
          <w:sz w:val="24"/>
          <w:szCs w:val="24"/>
          <w:lang w:eastAsia="en-US"/>
        </w:rPr>
        <w:t xml:space="preserve"> Российской Федерации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21C17" w:rsidRPr="00401DE1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</w:rPr>
        <w:t>По состоянию на 1 января 2020 года количество подконт</w:t>
      </w:r>
      <w:r w:rsidR="00401DE1">
        <w:rPr>
          <w:rFonts w:eastAsia="Calibri"/>
          <w:sz w:val="24"/>
          <w:szCs w:val="24"/>
        </w:rPr>
        <w:t xml:space="preserve">рольных субъектов </w:t>
      </w:r>
      <w:r w:rsidR="00401DE1" w:rsidRPr="00401DE1">
        <w:rPr>
          <w:rFonts w:eastAsia="Calibri"/>
          <w:sz w:val="24"/>
          <w:szCs w:val="24"/>
        </w:rPr>
        <w:t xml:space="preserve">составляет </w:t>
      </w:r>
      <w:r w:rsidR="00401DE1" w:rsidRPr="00401DE1">
        <w:rPr>
          <w:rFonts w:eastAsia="Calibri"/>
          <w:sz w:val="24"/>
          <w:szCs w:val="24"/>
          <w:u w:val="single"/>
        </w:rPr>
        <w:t xml:space="preserve">    </w:t>
      </w:r>
      <w:r w:rsidRPr="00401DE1">
        <w:rPr>
          <w:rFonts w:eastAsia="Calibri"/>
          <w:sz w:val="24"/>
          <w:szCs w:val="24"/>
        </w:rPr>
        <w:t xml:space="preserve"> </w:t>
      </w:r>
      <w:r w:rsidRPr="00401DE1">
        <w:rPr>
          <w:rFonts w:eastAsia="Calibri"/>
          <w:sz w:val="24"/>
          <w:szCs w:val="24"/>
          <w:lang w:eastAsia="en-US"/>
        </w:rPr>
        <w:t xml:space="preserve">из них: </w:t>
      </w:r>
    </w:p>
    <w:p w:rsidR="00921C17" w:rsidRPr="00401DE1" w:rsidRDefault="00401DE1" w:rsidP="00401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401DE1">
        <w:rPr>
          <w:rFonts w:eastAsia="Calibri"/>
          <w:sz w:val="24"/>
          <w:szCs w:val="24"/>
          <w:u w:val="single"/>
          <w:lang w:eastAsia="en-US"/>
        </w:rPr>
        <w:t xml:space="preserve">      </w:t>
      </w:r>
      <w:r w:rsidR="00921C17" w:rsidRPr="00401DE1">
        <w:rPr>
          <w:rFonts w:eastAsia="Calibri"/>
          <w:sz w:val="24"/>
          <w:szCs w:val="24"/>
          <w:lang w:eastAsia="en-US"/>
        </w:rPr>
        <w:t xml:space="preserve"> организаций, осуществляющих деятельность по управлению многоквартирными домами;</w:t>
      </w:r>
    </w:p>
    <w:p w:rsidR="00921C17" w:rsidRPr="00401DE1" w:rsidRDefault="00401DE1" w:rsidP="00401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401DE1">
        <w:rPr>
          <w:rFonts w:eastAsia="Calibri"/>
          <w:sz w:val="24"/>
          <w:szCs w:val="24"/>
          <w:lang w:eastAsia="en-US"/>
        </w:rPr>
        <w:t xml:space="preserve"> </w:t>
      </w:r>
      <w:r w:rsidRPr="00401DE1">
        <w:rPr>
          <w:rFonts w:eastAsia="Calibri"/>
          <w:sz w:val="24"/>
          <w:szCs w:val="24"/>
          <w:u w:val="single"/>
          <w:lang w:eastAsia="en-US"/>
        </w:rPr>
        <w:t xml:space="preserve">       </w:t>
      </w:r>
      <w:r w:rsidR="00921C17" w:rsidRPr="00401DE1">
        <w:rPr>
          <w:rFonts w:eastAsia="Calibri"/>
          <w:sz w:val="24"/>
          <w:szCs w:val="24"/>
          <w:lang w:eastAsia="en-US"/>
        </w:rPr>
        <w:t>товариществ собственников жилья.</w:t>
      </w:r>
    </w:p>
    <w:p w:rsid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01DE1">
        <w:rPr>
          <w:rFonts w:eastAsia="Calibri"/>
          <w:sz w:val="24"/>
          <w:szCs w:val="24"/>
          <w:lang w:eastAsia="en-US"/>
        </w:rPr>
        <w:t xml:space="preserve">Статистические данные по осуществлению муниципального жилищного контроля </w:t>
      </w:r>
      <w:r w:rsidRPr="00921C17">
        <w:rPr>
          <w:rFonts w:eastAsia="Calibri"/>
          <w:sz w:val="24"/>
          <w:szCs w:val="24"/>
          <w:lang w:eastAsia="en-US"/>
        </w:rPr>
        <w:t xml:space="preserve">на территории муниципального образования </w:t>
      </w:r>
      <w:r w:rsidR="00894A97">
        <w:rPr>
          <w:rFonts w:eastAsia="Calibri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sz w:val="24"/>
          <w:szCs w:val="24"/>
          <w:lang w:eastAsia="en-US"/>
        </w:rPr>
        <w:t>» Ненецкого автономного округа представлены в таблице.</w:t>
      </w:r>
    </w:p>
    <w:p w:rsidR="00E07FE1" w:rsidRPr="00921C17" w:rsidRDefault="00E07FE1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921C17" w:rsidRPr="00921C17" w:rsidRDefault="00921C17" w:rsidP="00921C17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1474"/>
        <w:gridCol w:w="1417"/>
        <w:gridCol w:w="1304"/>
        <w:gridCol w:w="2218"/>
      </w:tblGrid>
      <w:tr w:rsidR="00921C17" w:rsidRPr="00921C17" w:rsidTr="00946BDC">
        <w:tc>
          <w:tcPr>
            <w:tcW w:w="328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1474" w:type="dxa"/>
          </w:tcPr>
          <w:p w:rsidR="00921C17" w:rsidRPr="00921C17" w:rsidRDefault="00921C17" w:rsidP="00894A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</w:tcPr>
          <w:p w:rsidR="00921C17" w:rsidRPr="00921C17" w:rsidRDefault="00921C17" w:rsidP="00894A9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304" w:type="dxa"/>
          </w:tcPr>
          <w:p w:rsidR="00921C17" w:rsidRPr="00921C17" w:rsidRDefault="00921C17" w:rsidP="00894A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2218" w:type="dxa"/>
          </w:tcPr>
          <w:p w:rsidR="00921C17" w:rsidRPr="00921C17" w:rsidRDefault="00921C17" w:rsidP="00894A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2019 год</w:t>
            </w: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проведенных проверок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выявленных правонарушений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субъектов, допустивших нарушение обязательных требований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возбужденных дел об административных правонарушениях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Случаи причинения юридическими лицами и индивидуальными предпринимателями, в отношении которых осуществлялись мероприятия по муниципальному жилищному контролю,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 не выявлялись.</w:t>
      </w: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Случаев проведения органом муниципального жилищного контроля плановых проверок, результаты которых были признаны недействительными, а также проверок, проведенных с нарушением требований законодательства Российской Федерации, по результатам, выявления которых к должностным лицам муниципального жилищного контроля применены меры дисциплинарного и административного наказания, не отмечено.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2. Основные цели и задачи профилактической работы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2.1. Целями проведения профилактических мероприятий являются: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повышение прозрачности деятельности Администрации муниципального образования при осуществлении муниципального жилищного контроля;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предупреждение нарушения,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мотивация к добросовестному поведению и, как следствие, снижение уровня ущерба охраняемым законом ценностям;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разъяснение подконтрольным субъектам обязательных требований.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2.2. Задачами Программы являются: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- выявление и устранение причин, факторов и условий, способствующих возможному нарушению обязательных требований;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- оценка состояния подконтрольной сферы и особенностей подконтрольных субъектов, установление зависимости видов, форм и интенсивности профилактических мероприятий с учетом данных факторов;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- формирование единого понимания обязательных требований в регулируемых сферах у всех участников контрольно-надзорной деятельности.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numPr>
          <w:ilvl w:val="0"/>
          <w:numId w:val="29"/>
        </w:numPr>
        <w:spacing w:after="200" w:line="276" w:lineRule="auto"/>
        <w:jc w:val="center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Описание видов и типов поднадзорных субъектов (объектов)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lastRenderedPageBreak/>
        <w:t xml:space="preserve">В соответствии с </w:t>
      </w:r>
      <w:r w:rsidRPr="00921C17">
        <w:rPr>
          <w:rFonts w:eastAsia="Calibri"/>
          <w:sz w:val="24"/>
          <w:szCs w:val="24"/>
          <w:lang w:eastAsia="en-US"/>
        </w:rPr>
        <w:t>Административным регламентом исполнения муниципальной функции по осуществлению муниципального жилищного контроля на территории МО «</w:t>
      </w:r>
      <w:r w:rsidR="006F0CED">
        <w:rPr>
          <w:rFonts w:eastAsia="Calibri"/>
          <w:sz w:val="24"/>
          <w:szCs w:val="24"/>
          <w:lang w:eastAsia="en-US"/>
        </w:rPr>
        <w:t>Поселок Амдерма</w:t>
      </w:r>
      <w:r w:rsidRPr="00921C17">
        <w:rPr>
          <w:rFonts w:eastAsia="Calibri"/>
          <w:sz w:val="24"/>
          <w:szCs w:val="24"/>
          <w:lang w:eastAsia="en-US"/>
        </w:rPr>
        <w:t>» НАО</w:t>
      </w:r>
      <w:r w:rsidRPr="00921C17">
        <w:rPr>
          <w:rFonts w:eastAsia="Calibri"/>
          <w:color w:val="000000"/>
          <w:sz w:val="24"/>
          <w:szCs w:val="24"/>
        </w:rPr>
        <w:t xml:space="preserve">, предметом муниципального жилищного контроля </w:t>
      </w:r>
      <w:r w:rsidRPr="00921C17">
        <w:rPr>
          <w:rFonts w:eastAsia="Calibri"/>
          <w:sz w:val="24"/>
          <w:szCs w:val="24"/>
          <w:lang w:eastAsia="en-US"/>
        </w:rPr>
        <w:t>является организация и проведение на территории муниципальног</w:t>
      </w:r>
      <w:r w:rsidR="006F0CED">
        <w:rPr>
          <w:rFonts w:eastAsia="Calibri"/>
          <w:sz w:val="24"/>
          <w:szCs w:val="24"/>
          <w:lang w:eastAsia="en-US"/>
        </w:rPr>
        <w:t>о образования «Поселок Амдерма</w:t>
      </w:r>
      <w:r w:rsidRPr="00921C17">
        <w:rPr>
          <w:rFonts w:eastAsia="Calibri"/>
          <w:sz w:val="24"/>
          <w:szCs w:val="24"/>
          <w:lang w:eastAsia="en-US"/>
        </w:rPr>
        <w:t xml:space="preserve">» Ненецкого автономного округа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Ненецкого автономного округа в области жилищных отношений, а также муниципальными правовыми актами </w:t>
      </w:r>
      <w:r w:rsidRPr="00921C17">
        <w:rPr>
          <w:rFonts w:eastAsia="Calibri"/>
          <w:sz w:val="24"/>
          <w:szCs w:val="24"/>
        </w:rPr>
        <w:t>в том числе: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 xml:space="preserve">- требований к использованию жилых помещений в пределах, установленных Жилищным </w:t>
      </w:r>
      <w:hyperlink r:id="rId9" w:history="1">
        <w:r w:rsidRPr="00921C17">
          <w:rPr>
            <w:rFonts w:eastAsia="Calibri"/>
            <w:color w:val="000000"/>
            <w:sz w:val="24"/>
            <w:szCs w:val="24"/>
          </w:rPr>
          <w:t>кодексом</w:t>
        </w:r>
      </w:hyperlink>
      <w:r w:rsidRPr="00921C17">
        <w:rPr>
          <w:rFonts w:eastAsia="Calibri"/>
          <w:color w:val="000000"/>
          <w:sz w:val="24"/>
          <w:szCs w:val="24"/>
        </w:rPr>
        <w:t xml:space="preserve"> Российской Федерации;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пользованию жилым помещением с учетом соблюдения прав и законных интересов проживающих в жилом помещении граждан, соседей;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обеспечению сохранности жилого помещения, недопущению выполнения в жилом помещении работ или совершения других действий, приводящих к его порче;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поддержанию надлежащего состояния жилого помещения, соблюдению чистоты и порядка в жилом помещении;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своевременному внесению платы за жилое помещение и коммунальные услуги;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проведению переустройства и (или) перепланировки жилого помещения с соблюдением установленного законом порядка;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контроль за выполнением предписаний, выданных должностными лицами органа муниципального жилищного контроля в пределах компетенции, по вопросам соблюдения требований жилищного законодательства и устранения нарушений в области жилищных отношений;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выполнение иных требований жилищного законодательства по вопросам использования и сохранности жилищного фонда.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 xml:space="preserve">Указанную функцию Администрация муниципального образования осуществляет в отношении </w:t>
      </w:r>
      <w:r w:rsidR="006F0CED">
        <w:rPr>
          <w:rFonts w:eastAsia="Calibri"/>
          <w:sz w:val="24"/>
          <w:szCs w:val="24"/>
          <w:lang w:eastAsia="en-US"/>
        </w:rPr>
        <w:t xml:space="preserve">жилищного </w:t>
      </w:r>
      <w:r w:rsidRPr="00921C17">
        <w:rPr>
          <w:rFonts w:eastAsia="Calibri"/>
          <w:sz w:val="24"/>
          <w:szCs w:val="24"/>
          <w:lang w:eastAsia="en-US"/>
        </w:rPr>
        <w:t>фонда</w:t>
      </w:r>
      <w:r w:rsidR="006F0CED">
        <w:rPr>
          <w:rFonts w:eastAsia="Calibri"/>
          <w:sz w:val="24"/>
          <w:szCs w:val="24"/>
          <w:lang w:eastAsia="en-US"/>
        </w:rPr>
        <w:t>,</w:t>
      </w:r>
      <w:r w:rsidRPr="00921C17">
        <w:rPr>
          <w:rFonts w:eastAsia="Calibri"/>
          <w:sz w:val="24"/>
          <w:szCs w:val="24"/>
          <w:lang w:eastAsia="en-US"/>
        </w:rPr>
        <w:t xml:space="preserve"> находящегося в собственности муниципального образования </w:t>
      </w:r>
      <w:r w:rsidR="006F0CED">
        <w:rPr>
          <w:rFonts w:eastAsia="Calibri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sz w:val="24"/>
          <w:szCs w:val="24"/>
          <w:lang w:eastAsia="en-US"/>
        </w:rPr>
        <w:t>» Ненецкого автономного округа</w:t>
      </w:r>
      <w:r w:rsidRPr="00921C17">
        <w:rPr>
          <w:rFonts w:eastAsia="Calibri"/>
          <w:color w:val="000000"/>
          <w:sz w:val="24"/>
          <w:szCs w:val="24"/>
        </w:rPr>
        <w:t>. Такие жилые помещения являются поднадзорными объектами.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6F0CED" w:rsidRDefault="00921C17" w:rsidP="00E23954">
      <w:pPr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="Calibri"/>
          <w:bCs/>
          <w:sz w:val="24"/>
          <w:szCs w:val="24"/>
        </w:rPr>
      </w:pPr>
      <w:r w:rsidRPr="006F0CED">
        <w:rPr>
          <w:rFonts w:eastAsia="Calibri"/>
          <w:bCs/>
          <w:sz w:val="24"/>
          <w:szCs w:val="24"/>
        </w:rPr>
        <w:t>Описание ключевых наиболее значимых рисков, а также текущих</w:t>
      </w:r>
      <w:r w:rsidR="006F0CED">
        <w:rPr>
          <w:rFonts w:eastAsia="Calibri"/>
          <w:bCs/>
          <w:sz w:val="24"/>
          <w:szCs w:val="24"/>
        </w:rPr>
        <w:t xml:space="preserve"> </w:t>
      </w:r>
      <w:r w:rsidRPr="006F0CED">
        <w:rPr>
          <w:rFonts w:eastAsia="Calibri"/>
          <w:bCs/>
          <w:sz w:val="24"/>
          <w:szCs w:val="24"/>
        </w:rPr>
        <w:t>и ожидаемых тенденций, которые могут оказать воздействие</w:t>
      </w:r>
      <w:r w:rsidR="006F0CED">
        <w:rPr>
          <w:rFonts w:eastAsia="Calibri"/>
          <w:bCs/>
          <w:sz w:val="24"/>
          <w:szCs w:val="24"/>
        </w:rPr>
        <w:t xml:space="preserve"> </w:t>
      </w:r>
      <w:r w:rsidRPr="006F0CED">
        <w:rPr>
          <w:rFonts w:eastAsia="Calibri"/>
          <w:bCs/>
          <w:sz w:val="24"/>
          <w:szCs w:val="24"/>
        </w:rPr>
        <w:t>на состояние поднадзорной среды</w:t>
      </w:r>
    </w:p>
    <w:p w:rsidR="00921C17" w:rsidRPr="00921C17" w:rsidRDefault="00921C17" w:rsidP="00921C1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Общая обязанность по бережному отношению к жилищу дифференцируется применительно к тому, кто является пользователем жилого помещения: собственник жилья, наниматель и члены семьи. Так, осуществляя право собственности на жилое помещение, собственник помещения обязан принимать такие меры, которые не вели бы к повреждению или уничтожению жилого помещения. Действующее законодательство Российской Федерации возлагает на граждан, являющихся нанимателями по договору социального найма, обязанность бережно относиться к занимаемому ими жилищу. Это положение неразрывно связано с общей обязанностью нанимателей использовать жилые помещения в соответствии с их целевым назначением, т.е. для удовлетворения своих жилищных потребностей.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 xml:space="preserve">В числе одного из видов жилищных правонарушений называются самовольное переоборудование и перепланировка жилых домов, жилых помещений и инженерного оборудования, бесхозяйственное их содержание, порча жилых домов, жилых помещений, </w:t>
      </w:r>
      <w:r w:rsidRPr="00921C17">
        <w:rPr>
          <w:rFonts w:eastAsia="Calibri"/>
          <w:sz w:val="24"/>
          <w:szCs w:val="24"/>
        </w:rPr>
        <w:lastRenderedPageBreak/>
        <w:t>их оборудования и объектов благоустройства. При этом речь идет о незаконных действиях, каковыми являются самовольное переоборудование и другие указанные выше действия.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 xml:space="preserve">Согласно действующему законодательству граждане вправе видоизменять, перестраивать жилые помещения, совершать иные действия, если при этом не нарушаются действующие нормы, жилищные и иные права и свободы граждан </w:t>
      </w:r>
      <w:proofErr w:type="gramStart"/>
      <w:r w:rsidRPr="00921C17">
        <w:rPr>
          <w:rFonts w:eastAsia="Calibri"/>
          <w:sz w:val="24"/>
          <w:szCs w:val="24"/>
        </w:rPr>
        <w:t>и</w:t>
      </w:r>
      <w:proofErr w:type="gramEnd"/>
      <w:r w:rsidRPr="00921C17">
        <w:rPr>
          <w:rFonts w:eastAsia="Calibri"/>
          <w:sz w:val="24"/>
          <w:szCs w:val="24"/>
        </w:rPr>
        <w:t xml:space="preserve"> если это не приводит к порче и разрушению здания, его элементов и инженерных систем. Исходя из этих требований, закон предусматривает обязательное согласование перепланировки с органами местного самоуправления.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Администрация муниципального образования ежегодно осуществляет информирование населения о своей деятельности в сфере муниципального жилищного контроля, ее результатах, а также доводится информация о недопустимости нарушений требований законодательства в указанной сфере, о мерах ответственности за допущенные нарушения.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5. План мероприятий по профилактике нарушений обязательных требований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на 2021 год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11"/>
        <w:gridCol w:w="2115"/>
        <w:gridCol w:w="2268"/>
        <w:gridCol w:w="1984"/>
      </w:tblGrid>
      <w:tr w:rsidR="00921C17" w:rsidRPr="00921C17" w:rsidTr="00946BDC">
        <w:trPr>
          <w:trHeight w:val="1360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15" w:type="dxa"/>
          </w:tcPr>
          <w:p w:rsidR="00921C17" w:rsidRPr="00921C17" w:rsidRDefault="00921C17" w:rsidP="005942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Периодичность</w:t>
            </w:r>
          </w:p>
          <w:p w:rsidR="00921C17" w:rsidRPr="00921C17" w:rsidRDefault="00921C17" w:rsidP="00594243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921C17" w:rsidRPr="00921C17" w:rsidRDefault="00921C17" w:rsidP="00594243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921C17" w:rsidRPr="00921C17" w:rsidRDefault="00921C17" w:rsidP="0059424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921C17" w:rsidRPr="00921C17" w:rsidRDefault="00921C17" w:rsidP="0059424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401DE1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921C17" w:rsidRPr="00921C17" w:rsidTr="00946BDC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</w:t>
            </w:r>
            <w:r w:rsidR="00401DE1">
              <w:rPr>
                <w:rFonts w:eastAsia="Calibri"/>
                <w:sz w:val="24"/>
                <w:szCs w:val="24"/>
                <w:lang w:eastAsia="en-US"/>
              </w:rPr>
              <w:t xml:space="preserve">ого жилищного контроля, а также </w:t>
            </w:r>
            <w:proofErr w:type="gramStart"/>
            <w:r w:rsidRPr="00921C17">
              <w:rPr>
                <w:rFonts w:eastAsia="Calibri"/>
                <w:sz w:val="24"/>
                <w:szCs w:val="24"/>
                <w:lang w:eastAsia="en-US"/>
              </w:rPr>
              <w:t>текстов</w:t>
            </w:r>
            <w:proofErr w:type="gramEnd"/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rPr>
          <w:trHeight w:val="778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21C1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Осуществление информирования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  <w:gridSpan w:val="2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необходимости </w:t>
            </w:r>
          </w:p>
        </w:tc>
        <w:tc>
          <w:tcPr>
            <w:tcW w:w="2268" w:type="dxa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доступность сведений о мерах,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необходимых для предупреждения нарушений обязательных требований</w:t>
            </w:r>
          </w:p>
        </w:tc>
        <w:tc>
          <w:tcPr>
            <w:tcW w:w="1984" w:type="dxa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Общий отдел  </w:t>
            </w:r>
          </w:p>
        </w:tc>
      </w:tr>
      <w:tr w:rsidR="00921C17" w:rsidRPr="00921C17" w:rsidTr="00946BDC">
        <w:trPr>
          <w:trHeight w:val="4433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160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жилищного контроля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 1 марта 2021 года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Выдача предостережений о недопустимости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нарушения обязательных требований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по мере поступления информации о готовящихся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снижение затрат подконтрольных субъектов на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участие в мероприятиях по контролю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2022 год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 20 декабря 2021 года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921C17" w:rsidRPr="00921C17" w:rsidRDefault="006F0CED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6. Проект плана </w:t>
      </w:r>
      <w:r w:rsidR="00921C17" w:rsidRPr="00921C17">
        <w:rPr>
          <w:rFonts w:eastAsia="Calibri"/>
          <w:sz w:val="24"/>
          <w:szCs w:val="24"/>
          <w:lang w:eastAsia="en-US"/>
        </w:rPr>
        <w:t>мероприятий по профилактике нарушений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 xml:space="preserve"> обязательных требований на 2022-2023 год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2126"/>
        <w:gridCol w:w="2268"/>
        <w:gridCol w:w="1984"/>
      </w:tblGrid>
      <w:tr w:rsidR="00921C17" w:rsidRPr="00921C17" w:rsidTr="00946BDC">
        <w:trPr>
          <w:trHeight w:val="1360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26" w:type="dxa"/>
          </w:tcPr>
          <w:p w:rsidR="00921C17" w:rsidRPr="00921C17" w:rsidRDefault="00921C17" w:rsidP="00401D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Периодичность</w:t>
            </w:r>
          </w:p>
          <w:p w:rsidR="00921C17" w:rsidRPr="00921C17" w:rsidRDefault="00921C17" w:rsidP="00401DE1">
            <w:pPr>
              <w:ind w:firstLine="567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(сроки) </w:t>
            </w:r>
            <w:r w:rsidR="0093193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2268" w:type="dxa"/>
          </w:tcPr>
          <w:p w:rsidR="00921C17" w:rsidRPr="00921C17" w:rsidRDefault="00921C17" w:rsidP="00401D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921C17" w:rsidRPr="00921C17" w:rsidRDefault="00921C17" w:rsidP="00401D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921C17" w:rsidRPr="00921C17" w:rsidRDefault="00921C17" w:rsidP="00401D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4D2F58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921C17" w:rsidRPr="00921C17" w:rsidTr="00946BDC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rPr>
          <w:trHeight w:val="5425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21C1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по мере необходимости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921C17" w:rsidRPr="00921C17" w:rsidRDefault="00921C17" w:rsidP="00592DFF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592DFF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обобщения практики осуществления муниципального жилищного контроля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до 1 марта 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921C17" w:rsidRPr="00921C17" w:rsidRDefault="00921C17" w:rsidP="00592DFF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592DFF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2022 год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до 20 декабря 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  <w:lang w:eastAsia="en-US"/>
        </w:rPr>
        <w:lastRenderedPageBreak/>
        <w:t xml:space="preserve">5. Механизм </w:t>
      </w:r>
      <w:r w:rsidRPr="00921C17">
        <w:rPr>
          <w:rFonts w:eastAsia="Calibri"/>
          <w:sz w:val="24"/>
          <w:szCs w:val="24"/>
        </w:rPr>
        <w:t>реализации Программы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708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Программа реализуется общим отделом Администрации муниципального образования</w:t>
      </w:r>
      <w:r w:rsidR="00094B93">
        <w:rPr>
          <w:rFonts w:eastAsia="Calibri"/>
          <w:sz w:val="24"/>
          <w:szCs w:val="24"/>
          <w:lang w:eastAsia="en-US"/>
        </w:rPr>
        <w:t xml:space="preserve"> (органом </w:t>
      </w:r>
      <w:r w:rsidRPr="00921C17">
        <w:rPr>
          <w:rFonts w:eastAsia="Calibri"/>
          <w:sz w:val="24"/>
          <w:szCs w:val="24"/>
          <w:lang w:eastAsia="en-US"/>
        </w:rPr>
        <w:t xml:space="preserve">муниципального жилищного контроля) </w:t>
      </w:r>
      <w:r w:rsidRPr="00921C17">
        <w:rPr>
          <w:rFonts w:eastAsia="Calibri"/>
          <w:sz w:val="24"/>
          <w:szCs w:val="24"/>
        </w:rPr>
        <w:t>к полномочиям которого относится: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1) подготовка ежегодного доклада об итогах реализации Программы;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2) подготовка предложений по уточнению перечня программных мероприятий (при необходимости);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3) проведение мониторинга реализации программы и предварительной оценки ожидаемой эффективности и результативности программы;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4) подготовка проекта изменений в Программу.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  <w:lang w:eastAsia="en-US"/>
        </w:rPr>
        <w:t xml:space="preserve">7. </w:t>
      </w:r>
      <w:r w:rsidRPr="00921C17">
        <w:rPr>
          <w:rFonts w:eastAsia="Calibri"/>
          <w:sz w:val="24"/>
          <w:szCs w:val="24"/>
        </w:rPr>
        <w:t>Уполномоченные лица, ответственные за организацию</w:t>
      </w:r>
    </w:p>
    <w:p w:rsidR="00921C17" w:rsidRPr="00921C17" w:rsidRDefault="00921C17" w:rsidP="00921C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 xml:space="preserve">и проведение профилактических мероприятий </w:t>
      </w:r>
    </w:p>
    <w:p w:rsidR="00921C17" w:rsidRPr="00921C17" w:rsidRDefault="00921C17" w:rsidP="00921C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Уполномоченными лицами, ответственными за организацию и проведение профилактических мероприятий муниципального жилищного контроля, являются:</w:t>
      </w:r>
    </w:p>
    <w:p w:rsidR="00921C17" w:rsidRPr="00B124F1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B124F1">
        <w:rPr>
          <w:rFonts w:eastAsia="Calibri"/>
          <w:sz w:val="24"/>
          <w:szCs w:val="24"/>
        </w:rPr>
        <w:t xml:space="preserve">- </w:t>
      </w:r>
      <w:r w:rsidR="00B124F1" w:rsidRPr="00B124F1">
        <w:rPr>
          <w:rFonts w:eastAsia="Calibri"/>
          <w:sz w:val="24"/>
          <w:szCs w:val="24"/>
        </w:rPr>
        <w:t xml:space="preserve">старший </w:t>
      </w:r>
      <w:r w:rsidRPr="00B124F1">
        <w:rPr>
          <w:rFonts w:eastAsia="Calibri"/>
          <w:sz w:val="24"/>
          <w:szCs w:val="24"/>
        </w:rPr>
        <w:t xml:space="preserve">специалист общего отдела Администрации муниципального образования </w:t>
      </w:r>
      <w:r w:rsidR="00592DFF" w:rsidRPr="00B124F1">
        <w:rPr>
          <w:rFonts w:eastAsia="Calibri"/>
          <w:sz w:val="24"/>
          <w:szCs w:val="24"/>
        </w:rPr>
        <w:t>«Поселок Амдерма</w:t>
      </w:r>
      <w:r w:rsidR="00B124F1" w:rsidRPr="00B124F1">
        <w:rPr>
          <w:rFonts w:eastAsia="Calibri"/>
          <w:sz w:val="24"/>
          <w:szCs w:val="24"/>
        </w:rPr>
        <w:t>» Ненецкого автономного округа</w:t>
      </w:r>
      <w:r w:rsidRPr="00B124F1">
        <w:rPr>
          <w:rFonts w:eastAsia="Calibri"/>
          <w:sz w:val="24"/>
          <w:szCs w:val="24"/>
        </w:rPr>
        <w:t xml:space="preserve">, тел.: </w:t>
      </w:r>
      <w:r w:rsidR="00B124F1" w:rsidRPr="00B124F1">
        <w:rPr>
          <w:rFonts w:eastAsia="Calibri"/>
          <w:sz w:val="24"/>
          <w:szCs w:val="24"/>
          <w:u w:val="single"/>
        </w:rPr>
        <w:t>8</w:t>
      </w:r>
      <w:r w:rsidRPr="00B124F1">
        <w:rPr>
          <w:rFonts w:eastAsia="Calibri"/>
          <w:sz w:val="24"/>
          <w:szCs w:val="24"/>
        </w:rPr>
        <w:t>(</w:t>
      </w:r>
      <w:r w:rsidR="00B124F1" w:rsidRPr="00B124F1">
        <w:rPr>
          <w:rFonts w:eastAsia="Calibri"/>
          <w:sz w:val="24"/>
          <w:szCs w:val="24"/>
          <w:u w:val="single"/>
        </w:rPr>
        <w:t>81857</w:t>
      </w:r>
      <w:r w:rsidR="00B124F1" w:rsidRPr="00B124F1">
        <w:rPr>
          <w:rFonts w:eastAsia="Calibri"/>
          <w:sz w:val="24"/>
          <w:szCs w:val="24"/>
        </w:rPr>
        <w:t xml:space="preserve">) </w:t>
      </w:r>
      <w:r w:rsidR="00B124F1" w:rsidRPr="00B124F1">
        <w:rPr>
          <w:rFonts w:eastAsia="Calibri"/>
          <w:sz w:val="24"/>
          <w:szCs w:val="24"/>
          <w:u w:val="single"/>
        </w:rPr>
        <w:t>23</w:t>
      </w:r>
      <w:r w:rsidR="00B124F1" w:rsidRPr="00B124F1">
        <w:rPr>
          <w:rFonts w:eastAsia="Calibri"/>
          <w:sz w:val="24"/>
          <w:szCs w:val="24"/>
        </w:rPr>
        <w:t xml:space="preserve">_- </w:t>
      </w:r>
      <w:r w:rsidR="00B124F1" w:rsidRPr="00B124F1">
        <w:rPr>
          <w:rFonts w:eastAsia="Calibri"/>
          <w:sz w:val="24"/>
          <w:szCs w:val="24"/>
          <w:u w:val="single"/>
        </w:rPr>
        <w:t>703</w:t>
      </w:r>
      <w:r w:rsidR="00B124F1" w:rsidRPr="00B124F1">
        <w:rPr>
          <w:rFonts w:eastAsia="Calibri"/>
          <w:sz w:val="24"/>
          <w:szCs w:val="24"/>
        </w:rPr>
        <w:t>.</w:t>
      </w:r>
    </w:p>
    <w:p w:rsidR="00921C17" w:rsidRPr="00B124F1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E8096D" w:rsidRPr="00EB3712" w:rsidRDefault="00E8096D" w:rsidP="004214F3">
      <w:pPr>
        <w:rPr>
          <w:b/>
          <w:sz w:val="24"/>
        </w:rPr>
      </w:pPr>
    </w:p>
    <w:sectPr w:rsidR="00E8096D" w:rsidRPr="00EB3712" w:rsidSect="004B393A">
      <w:pgSz w:w="11907" w:h="16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4" w15:restartNumberingAfterBreak="0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 w15:restartNumberingAfterBreak="0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1" w15:restartNumberingAfterBreak="0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8" w15:restartNumberingAfterBreak="0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"/>
  </w:num>
  <w:num w:numId="3">
    <w:abstractNumId w:val="20"/>
  </w:num>
  <w:num w:numId="4">
    <w:abstractNumId w:val="27"/>
  </w:num>
  <w:num w:numId="5">
    <w:abstractNumId w:val="18"/>
  </w:num>
  <w:num w:numId="6">
    <w:abstractNumId w:val="4"/>
  </w:num>
  <w:num w:numId="7">
    <w:abstractNumId w:val="0"/>
  </w:num>
  <w:num w:numId="8">
    <w:abstractNumId w:val="3"/>
  </w:num>
  <w:num w:numId="9">
    <w:abstractNumId w:val="19"/>
  </w:num>
  <w:num w:numId="10">
    <w:abstractNumId w:val="6"/>
  </w:num>
  <w:num w:numId="11">
    <w:abstractNumId w:val="23"/>
  </w:num>
  <w:num w:numId="12">
    <w:abstractNumId w:val="25"/>
  </w:num>
  <w:num w:numId="13">
    <w:abstractNumId w:val="17"/>
  </w:num>
  <w:num w:numId="14">
    <w:abstractNumId w:val="24"/>
  </w:num>
  <w:num w:numId="15">
    <w:abstractNumId w:val="9"/>
  </w:num>
  <w:num w:numId="16">
    <w:abstractNumId w:val="14"/>
  </w:num>
  <w:num w:numId="17">
    <w:abstractNumId w:val="16"/>
  </w:num>
  <w:num w:numId="18">
    <w:abstractNumId w:val="12"/>
  </w:num>
  <w:num w:numId="19">
    <w:abstractNumId w:val="28"/>
  </w:num>
  <w:num w:numId="20">
    <w:abstractNumId w:val="13"/>
  </w:num>
  <w:num w:numId="21">
    <w:abstractNumId w:val="11"/>
  </w:num>
  <w:num w:numId="22">
    <w:abstractNumId w:val="10"/>
  </w:num>
  <w:num w:numId="23">
    <w:abstractNumId w:val="5"/>
  </w:num>
  <w:num w:numId="24">
    <w:abstractNumId w:val="22"/>
  </w:num>
  <w:num w:numId="25">
    <w:abstractNumId w:val="2"/>
  </w:num>
  <w:num w:numId="26">
    <w:abstractNumId w:val="26"/>
  </w:num>
  <w:num w:numId="27">
    <w:abstractNumId w:val="21"/>
  </w:num>
  <w:num w:numId="28">
    <w:abstractNumId w:val="1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E22"/>
    <w:rsid w:val="000018C1"/>
    <w:rsid w:val="00005964"/>
    <w:rsid w:val="000105A1"/>
    <w:rsid w:val="000233D3"/>
    <w:rsid w:val="00093ACC"/>
    <w:rsid w:val="00094B93"/>
    <w:rsid w:val="000B1F09"/>
    <w:rsid w:val="000C1390"/>
    <w:rsid w:val="000D3E22"/>
    <w:rsid w:val="000D45DE"/>
    <w:rsid w:val="000E087D"/>
    <w:rsid w:val="000F0B2E"/>
    <w:rsid w:val="00111B67"/>
    <w:rsid w:val="00112731"/>
    <w:rsid w:val="0012380C"/>
    <w:rsid w:val="001259F4"/>
    <w:rsid w:val="00136193"/>
    <w:rsid w:val="0014060C"/>
    <w:rsid w:val="00150922"/>
    <w:rsid w:val="001A3696"/>
    <w:rsid w:val="001A7099"/>
    <w:rsid w:val="002461B7"/>
    <w:rsid w:val="00256C95"/>
    <w:rsid w:val="002822DF"/>
    <w:rsid w:val="002B38F9"/>
    <w:rsid w:val="002B4910"/>
    <w:rsid w:val="002C06FE"/>
    <w:rsid w:val="002C4CE0"/>
    <w:rsid w:val="002F0651"/>
    <w:rsid w:val="00320512"/>
    <w:rsid w:val="003256E8"/>
    <w:rsid w:val="00343B02"/>
    <w:rsid w:val="00344460"/>
    <w:rsid w:val="00360FD5"/>
    <w:rsid w:val="003720CC"/>
    <w:rsid w:val="003A3709"/>
    <w:rsid w:val="003A75A7"/>
    <w:rsid w:val="003D0C53"/>
    <w:rsid w:val="003D33FB"/>
    <w:rsid w:val="003E6447"/>
    <w:rsid w:val="003F50AE"/>
    <w:rsid w:val="00401DE1"/>
    <w:rsid w:val="00401FF8"/>
    <w:rsid w:val="004214F3"/>
    <w:rsid w:val="0044673A"/>
    <w:rsid w:val="004555DF"/>
    <w:rsid w:val="004B11D5"/>
    <w:rsid w:val="004B393A"/>
    <w:rsid w:val="004D2F58"/>
    <w:rsid w:val="004D5CE6"/>
    <w:rsid w:val="00507831"/>
    <w:rsid w:val="005447F5"/>
    <w:rsid w:val="00550831"/>
    <w:rsid w:val="00592DFF"/>
    <w:rsid w:val="00594243"/>
    <w:rsid w:val="005A1F01"/>
    <w:rsid w:val="005B553D"/>
    <w:rsid w:val="005B5B96"/>
    <w:rsid w:val="005C46E5"/>
    <w:rsid w:val="005E4BF4"/>
    <w:rsid w:val="00605905"/>
    <w:rsid w:val="00632DF5"/>
    <w:rsid w:val="00635DCA"/>
    <w:rsid w:val="00642094"/>
    <w:rsid w:val="00654C72"/>
    <w:rsid w:val="006562CD"/>
    <w:rsid w:val="00657EC2"/>
    <w:rsid w:val="0068689F"/>
    <w:rsid w:val="006A45A3"/>
    <w:rsid w:val="006C5BEB"/>
    <w:rsid w:val="006F0CED"/>
    <w:rsid w:val="00704C49"/>
    <w:rsid w:val="00705656"/>
    <w:rsid w:val="007106C8"/>
    <w:rsid w:val="00714807"/>
    <w:rsid w:val="0072540F"/>
    <w:rsid w:val="00773C44"/>
    <w:rsid w:val="007836D7"/>
    <w:rsid w:val="007C2FFE"/>
    <w:rsid w:val="007C6973"/>
    <w:rsid w:val="007F37C2"/>
    <w:rsid w:val="008162D7"/>
    <w:rsid w:val="00820D8E"/>
    <w:rsid w:val="00823340"/>
    <w:rsid w:val="00827C76"/>
    <w:rsid w:val="00836CE6"/>
    <w:rsid w:val="00853AF8"/>
    <w:rsid w:val="008650C3"/>
    <w:rsid w:val="008717AD"/>
    <w:rsid w:val="00881C55"/>
    <w:rsid w:val="00890300"/>
    <w:rsid w:val="00890314"/>
    <w:rsid w:val="00894A97"/>
    <w:rsid w:val="008B02DA"/>
    <w:rsid w:val="008D63CA"/>
    <w:rsid w:val="008F018E"/>
    <w:rsid w:val="008F0706"/>
    <w:rsid w:val="00917571"/>
    <w:rsid w:val="00921C17"/>
    <w:rsid w:val="00930DD9"/>
    <w:rsid w:val="0093193F"/>
    <w:rsid w:val="00940EE4"/>
    <w:rsid w:val="00970E20"/>
    <w:rsid w:val="0097353B"/>
    <w:rsid w:val="009B0FFF"/>
    <w:rsid w:val="009E2F9B"/>
    <w:rsid w:val="00A101B3"/>
    <w:rsid w:val="00A46680"/>
    <w:rsid w:val="00A7439C"/>
    <w:rsid w:val="00AE13E8"/>
    <w:rsid w:val="00AF0701"/>
    <w:rsid w:val="00B050D5"/>
    <w:rsid w:val="00B124F1"/>
    <w:rsid w:val="00B155B5"/>
    <w:rsid w:val="00B208D9"/>
    <w:rsid w:val="00B218A4"/>
    <w:rsid w:val="00B31CE9"/>
    <w:rsid w:val="00B9484A"/>
    <w:rsid w:val="00BA2171"/>
    <w:rsid w:val="00BB691F"/>
    <w:rsid w:val="00BD4D4D"/>
    <w:rsid w:val="00BF5A77"/>
    <w:rsid w:val="00C023CC"/>
    <w:rsid w:val="00C775F9"/>
    <w:rsid w:val="00CC077A"/>
    <w:rsid w:val="00CF76A8"/>
    <w:rsid w:val="00D01FE4"/>
    <w:rsid w:val="00D2052A"/>
    <w:rsid w:val="00D26432"/>
    <w:rsid w:val="00D2779E"/>
    <w:rsid w:val="00D32DF1"/>
    <w:rsid w:val="00D406AF"/>
    <w:rsid w:val="00D43B62"/>
    <w:rsid w:val="00DF4290"/>
    <w:rsid w:val="00E07FE1"/>
    <w:rsid w:val="00E2060A"/>
    <w:rsid w:val="00E8096D"/>
    <w:rsid w:val="00E83F41"/>
    <w:rsid w:val="00EB3712"/>
    <w:rsid w:val="00EE0E92"/>
    <w:rsid w:val="00F02FCB"/>
    <w:rsid w:val="00F33A96"/>
    <w:rsid w:val="00F43103"/>
    <w:rsid w:val="00F460E6"/>
    <w:rsid w:val="00F526E0"/>
    <w:rsid w:val="00F76563"/>
    <w:rsid w:val="00F90012"/>
    <w:rsid w:val="00F91A85"/>
    <w:rsid w:val="00FC2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A867F2-4601-4CD3-8B38-F9823FF0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6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B66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6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B665B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665B"/>
    <w:rPr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10"/>
    <w:rsid w:val="004B66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65B"/>
    <w:rPr>
      <w:sz w:val="0"/>
      <w:szCs w:val="0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1"/>
    <w:qFormat/>
    <w:rsid w:val="00E8096D"/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semiHidden/>
    <w:unhideWhenUsed/>
    <w:rsid w:val="004B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2C07F245A5FFA8C18FFE0E85B9CD0923BE6A09DF9162A3C94089ECAF0DE7562457C9BF2DBC2508AD24A40A30K2wD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562C07F245A5FFA8C18FFE0E85B9CD0923BE6A09DF9162A3C94089ECAF0DE756365791B125BA305CF57EF307322FC2EA6EAA8DC848K1w2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1E548F0BAC030A2253C7D9653859680C6FE5B36307E7187C267A71135FA7A39D1CE9CC953DB49CFD946B860CSEM4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E8191-4C10-4D8F-98DB-DC3BE128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1pst_adm-.dot</Template>
  <TotalTime>686</TotalTime>
  <Pages>1</Pages>
  <Words>2507</Words>
  <Characters>14295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НАО</Company>
  <LinksUpToDate>false</LinksUpToDate>
  <CharactersWithSpaces>16769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Новый #2</dc:creator>
  <cp:keywords/>
  <dc:description/>
  <cp:lastModifiedBy>Златова</cp:lastModifiedBy>
  <cp:revision>42</cp:revision>
  <cp:lastPrinted>2020-10-01T07:17:00Z</cp:lastPrinted>
  <dcterms:created xsi:type="dcterms:W3CDTF">2017-02-20T11:46:00Z</dcterms:created>
  <dcterms:modified xsi:type="dcterms:W3CDTF">2020-10-01T07:18:00Z</dcterms:modified>
</cp:coreProperties>
</file>