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3E" w:rsidRPr="00316D3E" w:rsidRDefault="003D200F" w:rsidP="00316D3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316D3E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F4">
        <w:rPr>
          <w:rFonts w:ascii="Times New Roman" w:hAnsi="Times New Roman"/>
          <w:b/>
          <w:sz w:val="28"/>
          <w:szCs w:val="28"/>
        </w:rPr>
        <w:t>Администрация</w:t>
      </w: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F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F4">
        <w:rPr>
          <w:rFonts w:ascii="Times New Roman" w:hAnsi="Times New Roman"/>
          <w:b/>
          <w:sz w:val="28"/>
          <w:szCs w:val="28"/>
        </w:rPr>
        <w:t>«Поселок Амдерма» Заполярного района</w:t>
      </w: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F4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F4">
        <w:rPr>
          <w:rFonts w:ascii="Times New Roman" w:hAnsi="Times New Roman"/>
          <w:b/>
          <w:sz w:val="28"/>
          <w:szCs w:val="28"/>
        </w:rPr>
        <w:t>(Администрация Сельского поселения «Поселок Амдерма» ЗР НАО)</w:t>
      </w:r>
    </w:p>
    <w:p w:rsidR="00316D3E" w:rsidRPr="005115F4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D3E" w:rsidRPr="005115F4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5F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33B14" w:rsidRPr="005115F4" w:rsidRDefault="00033B14" w:rsidP="00033B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17B9D" w:rsidRPr="005115F4" w:rsidRDefault="005115F4" w:rsidP="00917B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115F4">
        <w:rPr>
          <w:rFonts w:ascii="Times New Roman" w:hAnsi="Times New Roman" w:cs="Times New Roman"/>
          <w:sz w:val="28"/>
          <w:szCs w:val="28"/>
        </w:rPr>
        <w:t>09 июня</w:t>
      </w:r>
      <w:r w:rsidR="00CF4D72" w:rsidRPr="005115F4">
        <w:rPr>
          <w:rFonts w:ascii="Times New Roman" w:hAnsi="Times New Roman" w:cs="Times New Roman"/>
          <w:sz w:val="28"/>
          <w:szCs w:val="28"/>
        </w:rPr>
        <w:t xml:space="preserve"> 2023</w:t>
      </w:r>
      <w:r w:rsidR="00316D3E" w:rsidRPr="005115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316D3E" w:rsidRPr="005115F4">
        <w:rPr>
          <w:rFonts w:ascii="Times New Roman" w:hAnsi="Times New Roman" w:cs="Times New Roman"/>
          <w:sz w:val="28"/>
          <w:szCs w:val="28"/>
        </w:rPr>
        <w:tab/>
      </w:r>
      <w:r w:rsidR="00033B14" w:rsidRPr="005115F4">
        <w:rPr>
          <w:rFonts w:ascii="Times New Roman" w:hAnsi="Times New Roman" w:cs="Times New Roman"/>
          <w:sz w:val="28"/>
          <w:szCs w:val="28"/>
        </w:rPr>
        <w:t>№</w:t>
      </w:r>
      <w:r w:rsidR="00BC2E6A" w:rsidRPr="005115F4">
        <w:rPr>
          <w:rFonts w:ascii="Times New Roman" w:hAnsi="Times New Roman" w:cs="Times New Roman"/>
          <w:sz w:val="28"/>
          <w:szCs w:val="28"/>
        </w:rPr>
        <w:t xml:space="preserve"> </w:t>
      </w:r>
      <w:r w:rsidR="00917B9D" w:rsidRPr="005115F4">
        <w:rPr>
          <w:rFonts w:ascii="Times New Roman" w:hAnsi="Times New Roman" w:cs="Times New Roman"/>
          <w:sz w:val="28"/>
          <w:szCs w:val="28"/>
        </w:rPr>
        <w:t>5</w:t>
      </w:r>
      <w:r w:rsidRPr="005115F4">
        <w:rPr>
          <w:rFonts w:ascii="Times New Roman" w:hAnsi="Times New Roman" w:cs="Times New Roman"/>
          <w:sz w:val="28"/>
          <w:szCs w:val="28"/>
        </w:rPr>
        <w:t>5</w:t>
      </w:r>
      <w:r w:rsidR="00316D3E" w:rsidRPr="005115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16D3E" w:rsidRPr="005115F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7B9D" w:rsidRPr="005115F4" w:rsidRDefault="00917B9D" w:rsidP="00033B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4D72" w:rsidRPr="005115F4" w:rsidRDefault="002D4913" w:rsidP="00A62231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b/>
          <w:bCs/>
          <w:sz w:val="28"/>
          <w:szCs w:val="28"/>
        </w:rPr>
      </w:pPr>
      <w:r w:rsidRPr="005115F4">
        <w:rPr>
          <w:rFonts w:ascii="Times New Roman" w:hAnsi="Times New Roman"/>
          <w:b/>
          <w:bCs/>
          <w:sz w:val="28"/>
          <w:szCs w:val="28"/>
        </w:rPr>
        <w:t>О</w:t>
      </w:r>
      <w:r w:rsidR="00917B9D" w:rsidRPr="005115F4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5115F4" w:rsidRPr="005115F4">
        <w:rPr>
          <w:rFonts w:ascii="Times New Roman" w:hAnsi="Times New Roman"/>
          <w:b/>
          <w:bCs/>
          <w:sz w:val="28"/>
          <w:szCs w:val="28"/>
        </w:rPr>
        <w:t xml:space="preserve">Порядка осуществления казначейского сопровождения средств, предоставляемых из бюджета Сельского поселения «Поселок Амдерма» </w:t>
      </w:r>
      <w:r w:rsidR="005115F4" w:rsidRPr="005115F4">
        <w:rPr>
          <w:rFonts w:ascii="Times New Roman" w:hAnsi="Times New Roman"/>
          <w:b/>
          <w:bCs/>
          <w:sz w:val="28"/>
          <w:szCs w:val="28"/>
        </w:rPr>
        <w:br/>
        <w:t>Заполярного района Ненецкого автономного округа, пеням и штрафам по ним</w:t>
      </w:r>
      <w:r w:rsidRPr="005115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17B9D" w:rsidRPr="005115F4" w:rsidRDefault="00917B9D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</w:p>
    <w:p w:rsidR="005115F4" w:rsidRPr="005115F4" w:rsidRDefault="005115F4" w:rsidP="00511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Pr="005115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hyperlink r:id="rId7" w:history="1">
        <w:r w:rsidRPr="005115F4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пунктом 5 статьи 242.23</w:t>
        </w:r>
      </w:hyperlink>
      <w:r w:rsidRPr="005115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5115F4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Постановлением</w:t>
        </w:r>
      </w:hyperlink>
      <w:r w:rsidRPr="005115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Правительства Российской Федерации от 01.12.2021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№</w:t>
      </w:r>
      <w:r w:rsidRPr="005115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2155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5115F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5115F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917B9D" w:rsidRPr="005115F4" w:rsidRDefault="00917B9D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15F4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316D3E" w:rsidRPr="005115F4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F4">
        <w:rPr>
          <w:rFonts w:ascii="Times New Roman" w:hAnsi="Times New Roman"/>
          <w:b/>
          <w:sz w:val="28"/>
          <w:szCs w:val="28"/>
        </w:rPr>
        <w:t>«ПОСЕЛОК АМДЕРМА» ЗР НАО ПОСТАНОВЛЯЕТ:</w:t>
      </w:r>
    </w:p>
    <w:p w:rsidR="002D4913" w:rsidRPr="005115F4" w:rsidRDefault="002D4913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15F4" w:rsidRPr="005115F4" w:rsidRDefault="005115F4" w:rsidP="005115F4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15F4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hyperlink r:id="rId9" w:history="1">
        <w:r w:rsidRPr="005115F4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Порядок</w:t>
        </w:r>
      </w:hyperlink>
      <w:r w:rsidRPr="005115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осуществления казначейского сопровождения </w:t>
      </w:r>
      <w:r w:rsidRPr="005115F4">
        <w:rPr>
          <w:rFonts w:ascii="Times New Roman" w:hAnsi="Times New Roman"/>
          <w:sz w:val="28"/>
          <w:szCs w:val="28"/>
        </w:rPr>
        <w:t>средств, представляемых из бюджета</w:t>
      </w:r>
      <w:r w:rsidRPr="005115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15F4">
        <w:rPr>
          <w:rFonts w:ascii="Times New Roman" w:hAnsi="Times New Roman"/>
          <w:sz w:val="28"/>
          <w:szCs w:val="28"/>
        </w:rPr>
        <w:t>Сельского поселения «Поселок Амдерма» Заполярного района Ненецкого автономного округа</w:t>
      </w:r>
      <w:r w:rsidRPr="005115F4">
        <w:rPr>
          <w:rFonts w:ascii="Times New Roman" w:hAnsi="Times New Roman"/>
          <w:color w:val="000000"/>
          <w:sz w:val="28"/>
          <w:szCs w:val="28"/>
        </w:rPr>
        <w:t>, пеням и штрафам по ним.</w:t>
      </w:r>
    </w:p>
    <w:p w:rsidR="005115F4" w:rsidRPr="005115F4" w:rsidRDefault="005115F4" w:rsidP="005115F4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5F4" w:rsidRPr="005115F4" w:rsidRDefault="005115F4" w:rsidP="005115F4">
      <w:pPr>
        <w:pStyle w:val="ConsPlusNormal"/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5115F4">
        <w:rPr>
          <w:rFonts w:ascii="Times New Roman" w:hAnsi="Times New Roman" w:cs="Times New Roman"/>
          <w:sz w:val="28"/>
          <w:szCs w:val="28"/>
        </w:rPr>
        <w:t xml:space="preserve">2. </w:t>
      </w:r>
      <w:r w:rsidRPr="005115F4">
        <w:rPr>
          <w:rFonts w:ascii="Times New Roman" w:hAnsi="Times New Roman"/>
          <w:sz w:val="28"/>
          <w:szCs w:val="28"/>
        </w:rPr>
        <w:t>Настоящее постановление  вступает в после его официального опубликования (обнародования).</w:t>
      </w:r>
    </w:p>
    <w:p w:rsidR="005115F4" w:rsidRPr="005115F4" w:rsidRDefault="005115F4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3E" w:rsidRPr="005115F4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F4">
        <w:rPr>
          <w:rFonts w:ascii="Times New Roman" w:hAnsi="Times New Roman"/>
          <w:sz w:val="28"/>
          <w:szCs w:val="28"/>
        </w:rPr>
        <w:t xml:space="preserve">Глава </w:t>
      </w:r>
      <w:r w:rsidR="00316D3E" w:rsidRPr="005115F4">
        <w:rPr>
          <w:rFonts w:ascii="Times New Roman" w:hAnsi="Times New Roman"/>
          <w:sz w:val="28"/>
          <w:szCs w:val="28"/>
        </w:rPr>
        <w:t>Сельского поселения</w:t>
      </w:r>
    </w:p>
    <w:p w:rsidR="00316D3E" w:rsidRPr="005115F4" w:rsidRDefault="00CA3A6F" w:rsidP="0031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F4">
        <w:rPr>
          <w:rFonts w:ascii="Times New Roman" w:hAnsi="Times New Roman"/>
          <w:sz w:val="28"/>
          <w:szCs w:val="28"/>
        </w:rPr>
        <w:t>«Поселок Амдерма» ЗР НАО</w:t>
      </w:r>
      <w:r w:rsidR="00A62231" w:rsidRPr="005115F4">
        <w:rPr>
          <w:rFonts w:ascii="Times New Roman" w:hAnsi="Times New Roman"/>
          <w:sz w:val="28"/>
          <w:szCs w:val="28"/>
        </w:rPr>
        <w:tab/>
      </w:r>
      <w:r w:rsidR="00A62231" w:rsidRPr="005115F4">
        <w:rPr>
          <w:rFonts w:ascii="Times New Roman" w:hAnsi="Times New Roman"/>
          <w:sz w:val="28"/>
          <w:szCs w:val="28"/>
        </w:rPr>
        <w:tab/>
      </w:r>
      <w:r w:rsidR="00A62231" w:rsidRPr="005115F4">
        <w:rPr>
          <w:rFonts w:ascii="Times New Roman" w:hAnsi="Times New Roman"/>
          <w:sz w:val="28"/>
          <w:szCs w:val="28"/>
        </w:rPr>
        <w:tab/>
      </w:r>
      <w:r w:rsidR="00A62231" w:rsidRPr="005115F4">
        <w:rPr>
          <w:rFonts w:ascii="Times New Roman" w:hAnsi="Times New Roman"/>
          <w:sz w:val="28"/>
          <w:szCs w:val="28"/>
        </w:rPr>
        <w:tab/>
      </w:r>
      <w:r w:rsidR="00A62231" w:rsidRPr="005115F4">
        <w:rPr>
          <w:rFonts w:ascii="Times New Roman" w:hAnsi="Times New Roman"/>
          <w:sz w:val="28"/>
          <w:szCs w:val="28"/>
        </w:rPr>
        <w:tab/>
      </w:r>
      <w:r w:rsidR="00A62231" w:rsidRPr="005115F4">
        <w:rPr>
          <w:rFonts w:ascii="Times New Roman" w:hAnsi="Times New Roman"/>
          <w:sz w:val="28"/>
          <w:szCs w:val="28"/>
        </w:rPr>
        <w:tab/>
      </w:r>
      <w:r w:rsidR="00316D3E" w:rsidRPr="005115F4">
        <w:rPr>
          <w:rFonts w:ascii="Times New Roman" w:hAnsi="Times New Roman"/>
          <w:sz w:val="28"/>
          <w:szCs w:val="28"/>
        </w:rPr>
        <w:t>М.</w:t>
      </w:r>
      <w:r w:rsidR="002D4913" w:rsidRPr="005115F4">
        <w:rPr>
          <w:rFonts w:ascii="Times New Roman" w:hAnsi="Times New Roman"/>
          <w:sz w:val="28"/>
          <w:szCs w:val="28"/>
        </w:rPr>
        <w:t xml:space="preserve">В. </w:t>
      </w:r>
      <w:r w:rsidR="00316D3E" w:rsidRPr="005115F4">
        <w:rPr>
          <w:rFonts w:ascii="Times New Roman" w:hAnsi="Times New Roman"/>
          <w:sz w:val="28"/>
          <w:szCs w:val="28"/>
        </w:rPr>
        <w:t>Златова</w:t>
      </w:r>
    </w:p>
    <w:p w:rsidR="00617DAB" w:rsidRDefault="00316D3E" w:rsidP="00617D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17B9D">
        <w:rPr>
          <w:rFonts w:ascii="Times New Roman" w:hAnsi="Times New Roman"/>
          <w:sz w:val="26"/>
          <w:szCs w:val="26"/>
        </w:rPr>
        <w:br w:type="page"/>
      </w:r>
      <w:r w:rsidR="00617DA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17DAB" w:rsidRDefault="00617DAB" w:rsidP="00617D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7DAB" w:rsidRDefault="00617DAB" w:rsidP="00617D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 </w:t>
      </w:r>
      <w:r>
        <w:rPr>
          <w:rFonts w:ascii="Times New Roman" w:hAnsi="Times New Roman"/>
          <w:sz w:val="24"/>
          <w:szCs w:val="24"/>
        </w:rPr>
        <w:t>«Поселок Амдерма»</w:t>
      </w:r>
    </w:p>
    <w:p w:rsidR="00617DAB" w:rsidRDefault="00617DAB" w:rsidP="00617D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Заполярного района Ненецкого автономного округа</w:t>
      </w:r>
    </w:p>
    <w:p w:rsidR="00617DAB" w:rsidRPr="00617DAB" w:rsidRDefault="00617DAB" w:rsidP="00617D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>
        <w:rPr>
          <w:rFonts w:ascii="Times New Roman" w:hAnsi="Times New Roman"/>
          <w:color w:val="000000"/>
          <w:sz w:val="24"/>
          <w:szCs w:val="24"/>
        </w:rPr>
        <w:t xml:space="preserve">.06.2023 </w:t>
      </w:r>
      <w:r>
        <w:rPr>
          <w:rFonts w:ascii="Times New Roman" w:hAnsi="Times New Roman"/>
          <w:color w:val="000000"/>
          <w:sz w:val="24"/>
          <w:szCs w:val="24"/>
        </w:rPr>
        <w:t>№ 55-П</w:t>
      </w:r>
    </w:p>
    <w:p w:rsidR="00617DAB" w:rsidRDefault="00617DAB" w:rsidP="00617DA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DAB" w:rsidRPr="00C9601E" w:rsidRDefault="00617DAB" w:rsidP="00617DAB">
      <w:pPr>
        <w:pStyle w:val="ConsPlusNonforma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0" w:history="1">
        <w:r w:rsidRPr="00C9601E">
          <w:rPr>
            <w:rFonts w:ascii="Times New Roman" w:hAnsi="Times New Roman"/>
            <w:b/>
            <w:bCs/>
            <w:color w:val="000000"/>
            <w:sz w:val="24"/>
            <w:szCs w:val="24"/>
          </w:rPr>
          <w:t>Порядок</w:t>
        </w:r>
      </w:hyperlink>
    </w:p>
    <w:p w:rsidR="00617DAB" w:rsidRDefault="00617DAB" w:rsidP="00617DAB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C9601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осуществления казначейского сопровождения </w:t>
      </w:r>
      <w:r w:rsidRPr="00C9601E">
        <w:rPr>
          <w:rFonts w:ascii="Times New Roman" w:hAnsi="Times New Roman"/>
          <w:b/>
          <w:sz w:val="24"/>
          <w:szCs w:val="24"/>
        </w:rPr>
        <w:t>средств, представляемых из бюджета</w:t>
      </w:r>
      <w:r w:rsidRPr="00C960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601E">
        <w:rPr>
          <w:rFonts w:ascii="Times New Roman" w:hAnsi="Times New Roman"/>
          <w:b/>
          <w:sz w:val="24"/>
          <w:szCs w:val="24"/>
        </w:rPr>
        <w:t>Сельского поселения «Поселок Амдерма» Заполярного района</w:t>
      </w:r>
    </w:p>
    <w:p w:rsidR="00617DAB" w:rsidRDefault="00617DAB" w:rsidP="00617D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01E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Настоящий Порядок устанавливает правила осуществления </w:t>
      </w:r>
      <w:r w:rsidRPr="004336B2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4336B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«Поселок Амдерма»</w:t>
      </w:r>
      <w:r w:rsidRPr="004336B2">
        <w:rPr>
          <w:rFonts w:ascii="Times New Roman" w:hAnsi="Times New Roman"/>
          <w:sz w:val="24"/>
          <w:szCs w:val="24"/>
        </w:rPr>
        <w:t xml:space="preserve"> Заполярного района  Ненецкого автономного округа  </w:t>
      </w:r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(далее - финансовый орган)  казначейского сопровождения средств, определенных решением Совета депутатов </w:t>
      </w:r>
      <w:r w:rsidRPr="004336B2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«Поселок Амдерма»</w:t>
      </w:r>
      <w:r w:rsidRPr="004336B2">
        <w:rPr>
          <w:rFonts w:ascii="Times New Roman" w:hAnsi="Times New Roman"/>
          <w:sz w:val="24"/>
          <w:szCs w:val="24"/>
        </w:rPr>
        <w:t xml:space="preserve"> Заполярного района  Ненецкого автономного округа </w:t>
      </w:r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4336B2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«Поселок Амдерма»</w:t>
      </w:r>
      <w:r w:rsidRPr="004336B2">
        <w:rPr>
          <w:rFonts w:ascii="Times New Roman" w:hAnsi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/>
          <w:sz w:val="24"/>
          <w:szCs w:val="24"/>
        </w:rPr>
        <w:t xml:space="preserve">  Ненецкого автономного округа </w:t>
      </w:r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на текущий год в соответствии с </w:t>
      </w:r>
      <w:hyperlink r:id="rId11" w:history="1">
        <w:r w:rsidRPr="004336B2">
          <w:rPr>
            <w:rFonts w:ascii="Times New Roman" w:hAnsi="Times New Roman"/>
            <w:bCs/>
            <w:sz w:val="24"/>
            <w:szCs w:val="24"/>
            <w:lang w:eastAsia="ru-RU"/>
          </w:rPr>
          <w:t>подпунктом 1 пункта 1 статьи 242.26</w:t>
        </w:r>
      </w:hyperlink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 Бюджетного кодекса Российской</w:t>
      </w:r>
      <w:proofErr w:type="gramEnd"/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 Федерации, и иных средств, определенных федеральными законами, решениями Правительства Российской Федерации в случаях, предусмотренных </w:t>
      </w:r>
      <w:hyperlink r:id="rId12" w:history="1">
        <w:r w:rsidRPr="004336B2">
          <w:rPr>
            <w:rFonts w:ascii="Times New Roman" w:hAnsi="Times New Roman"/>
            <w:bCs/>
            <w:sz w:val="24"/>
            <w:szCs w:val="24"/>
            <w:lang w:eastAsia="ru-RU"/>
          </w:rPr>
          <w:t>подпунктом 2 пункта 1 статьи 242.26</w:t>
        </w:r>
      </w:hyperlink>
      <w:r w:rsidRPr="004336B2">
        <w:rPr>
          <w:rFonts w:ascii="Times New Roman" w:hAnsi="Times New Roman"/>
          <w:bCs/>
          <w:sz w:val="24"/>
          <w:szCs w:val="24"/>
          <w:lang w:eastAsia="ru-RU"/>
        </w:rPr>
        <w:t xml:space="preserve"> Бюджетного кодекса Российской Федерации (далее - целевые средства).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sz w:val="24"/>
          <w:szCs w:val="24"/>
          <w:lang w:eastAsia="ru-RU"/>
        </w:rPr>
        <w:t>Положения настоящего Порядка устанавливаются для юридических лиц, индивидуальных предпринимателей, физических лиц - производителей товаров, работ, услуг (далее - участники казначейского сопровождения) при предоставлении им целевых средств.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Операции с целевыми средствами осуществляются на казначейском счете, предусмотренном </w:t>
      </w:r>
      <w:hyperlink r:id="rId13" w:history="1">
        <w:r w:rsidRPr="0018436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подпунктом 6.1 пункта 1 статьи 242.14</w:t>
        </w:r>
      </w:hyperlink>
      <w:r w:rsidRP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Федерации, открытом финансовому органу в </w:t>
      </w:r>
      <w:r w:rsidRPr="0018436F">
        <w:rPr>
          <w:rFonts w:ascii="Times New Roman" w:hAnsi="Times New Roman"/>
          <w:bCs/>
          <w:sz w:val="24"/>
          <w:szCs w:val="24"/>
          <w:lang w:eastAsia="ru-RU"/>
        </w:rPr>
        <w:t xml:space="preserve">Управлении Федерального казначейства по Архангельской области и Ненецкому автономному округу, </w:t>
      </w:r>
      <w:r w:rsidRP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отражаются на открываемом в финансовом органе лицевом счете участника казначейского сопровождения, определенном </w:t>
      </w:r>
      <w:hyperlink r:id="rId14" w:history="1">
        <w:r w:rsidRPr="0018436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пунктом 7.1 статьи 220.1</w:t>
        </w:r>
      </w:hyperlink>
      <w:r w:rsidRP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Федерации, в установленном финансовом органом порядке в</w:t>
      </w:r>
      <w:bookmarkStart w:id="0" w:name="_GoBack"/>
      <w:bookmarkEnd w:id="0"/>
      <w:proofErr w:type="gramEnd"/>
      <w:r w:rsidRP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соответствии</w:t>
      </w:r>
      <w:proofErr w:type="gramEnd"/>
      <w:r w:rsidRP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 общими требованиями, установленными Федеральным казначейством Российской Федерации (далее - лицевой счет).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Казначейское сопровождение осуществляется в отношении целевых средств, предоставляемых на основании: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муниципальных контрактов о поставке товаров, выполнении работ, оказании услуг (далее - муниципальный контракт);</w:t>
      </w:r>
      <w:proofErr w:type="gramEnd"/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контрактов (договоров) о поставке товаров, выполнении работ, оказании услуг, заключаемых муниципальными бюджетными учреждениями (далее - контракт учреждения);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договоров (соглашений) о предоставлении субсидий, договоров о предоставлении бюджетных инвестиций в соответствии со </w:t>
      </w:r>
      <w:hyperlink r:id="rId15" w:history="1">
        <w:r w:rsidRPr="004336B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статьей 80</w:t>
        </w:r>
      </w:hyperlink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обеспечения</w:t>
      </w:r>
      <w:proofErr w:type="gramEnd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исполнения которых являются указанные субсидии и бюджетные инвестиции (далее - договор (соглашение);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контрактов учреждений, договоров (соглашений) (далее - контракт (договор).</w:t>
      </w:r>
      <w:proofErr w:type="gramEnd"/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В случаях и порядке, установленных Правительством Российской Федерации, осуществляется расширенное казначейское сопровождение в соответствии с </w:t>
      </w:r>
      <w:hyperlink r:id="rId16" w:history="1">
        <w:r w:rsidRPr="004336B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пунктом 3 статьи 242.24</w:t>
        </w:r>
      </w:hyperlink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5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Операции по списанию целевых средств по расходам участников казначейского сопровождения, отраженных на лицевых счетах, проводятся после осуществления финансовым органом санкционирования операций с целевыми средствами участников казначейского сопровождения в установленном им порядке (далее - порядок санкционирования целевых средств) и проверки представленных документов, установленных порядком санкционирования целевых средств, подтверждающих возникновение денежных обязательств участника казначейского сопровождения (далее - документы - основания).</w:t>
      </w:r>
      <w:proofErr w:type="gramEnd"/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Санкционирование расходов при казначейском сопровождении целевых средств осуществляется </w:t>
      </w:r>
      <w:proofErr w:type="gram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соответствии с представляемыми участниками казначейского сопровождения в финансовый орган сведениями об операциях с целевыми средствами</w:t>
      </w:r>
      <w:proofErr w:type="gramEnd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сформированными и утвержденными в порядке и по форме, установленными финансовым органом.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При открытии лицевых счетов и осуществлении операций на указанных лицевых счетах </w:t>
      </w:r>
      <w:r w:rsidRPr="001A2611">
        <w:rPr>
          <w:rFonts w:ascii="Times New Roman" w:hAnsi="Times New Roman"/>
          <w:bCs/>
          <w:sz w:val="24"/>
          <w:szCs w:val="24"/>
          <w:lang w:eastAsia="ru-RU"/>
        </w:rPr>
        <w:t xml:space="preserve">Управления Федерального казначейства по Архангельской области и Ненецкому автономному округу 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7" w:history="1">
        <w:r w:rsidRPr="004336B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статьей 242.13-1</w:t>
        </w:r>
      </w:hyperlink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7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При казначейском сопровождении целевых средств в муниципальные контракты, контракты учреждения, договоры (соглашения), контракты (договоры) включаются следующие условия: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открытии участнику казначейского сопровождения лицевого счета в финансовом органе в установленном им порядке;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представлении в финансовый орган документов, установленных порядком санкционирования целевых средств;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указании в муниципальных контрактах, контрактах учреждения, договорах (соглашениях), контрактах (договорах), распоряжениях о совершении казначейских платежей, а также в документах-основаниях идентификатора муниципального контракта, контракта учреждения, договора (соглашения), контракта (договора), определенного в соответствии с </w:t>
      </w:r>
      <w:hyperlink r:id="rId18" w:history="1">
        <w:r w:rsidRPr="004336B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подпунктом 3 пункта 2 статьи 242.23</w:t>
        </w:r>
      </w:hyperlink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Федерации;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ведении раздельного учета результатов финансово-хозяйственной деятельности по каждому муниципальному контракту, контракту учреждения, договору (соглашению), контракту (договору) в соответствии с порядком, определенным Правительством Российской Федерации;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соответствии с требованиями, установленными Порядком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</w:t>
      </w:r>
      <w:hyperlink r:id="rId19" w:history="1">
        <w:r w:rsidRPr="004336B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Приказом</w:t>
        </w:r>
      </w:hyperlink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Министерства финансов России от 10.12.2021</w:t>
      </w:r>
      <w:proofErr w:type="gramEnd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8436F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210н;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о расширенном казначейском сопровождении в случае реализации положений, предусмотренных пунктом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Порядка.</w:t>
      </w:r>
    </w:p>
    <w:p w:rsidR="00617DAB" w:rsidRPr="000F7FC2" w:rsidRDefault="00617DAB" w:rsidP="00617DAB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FC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proofErr w:type="gramStart"/>
      <w:r w:rsidRPr="000F7FC2">
        <w:rPr>
          <w:rFonts w:ascii="Times New Roman" w:hAnsi="Times New Roman"/>
          <w:sz w:val="24"/>
          <w:szCs w:val="24"/>
          <w:lang w:eastAsia="ru-RU"/>
        </w:rPr>
        <w:t xml:space="preserve">При казначейском сопровождении обмен документами между финансовым органом, получателем средств бюджета </w:t>
      </w:r>
      <w:r w:rsidRPr="000F7FC2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«Поселок Амдерма»</w:t>
      </w:r>
      <w:r w:rsidRPr="000F7FC2">
        <w:rPr>
          <w:rFonts w:ascii="Times New Roman" w:hAnsi="Times New Roman"/>
          <w:sz w:val="24"/>
          <w:szCs w:val="24"/>
        </w:rPr>
        <w:t xml:space="preserve"> Заполярного района  Ненецкого автономного округа</w:t>
      </w:r>
      <w:r w:rsidRPr="000F7FC2">
        <w:rPr>
          <w:rFonts w:ascii="Times New Roman" w:hAnsi="Times New Roman"/>
          <w:sz w:val="24"/>
          <w:szCs w:val="24"/>
          <w:lang w:eastAsia="ru-RU"/>
        </w:rPr>
        <w:t xml:space="preserve">, до которого доведены лимиты бюджетных обязательств на предоставление субсидий или бюджетных инвестиций, на заключение муниципальных контрактов, муниципальным учреждением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</w:t>
      </w:r>
      <w:r w:rsidRPr="000F7FC2">
        <w:rPr>
          <w:rFonts w:ascii="Times New Roman" w:hAnsi="Times New Roman"/>
          <w:sz w:val="24"/>
          <w:szCs w:val="24"/>
          <w:lang w:eastAsia="ru-RU"/>
        </w:rPr>
        <w:lastRenderedPageBreak/>
        <w:t>получателя бюджетных средств, муниципального заказчика, муниципального</w:t>
      </w:r>
      <w:proofErr w:type="gramEnd"/>
      <w:r w:rsidRPr="000F7FC2">
        <w:rPr>
          <w:rFonts w:ascii="Times New Roman" w:hAnsi="Times New Roman"/>
          <w:sz w:val="24"/>
          <w:szCs w:val="24"/>
          <w:lang w:eastAsia="ru-RU"/>
        </w:rPr>
        <w:t xml:space="preserve"> учреждения или участника казначейского сопровождения.</w:t>
      </w:r>
    </w:p>
    <w:p w:rsidR="00617DAB" w:rsidRPr="000F7FC2" w:rsidRDefault="00617DAB" w:rsidP="00617DAB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FC2">
        <w:rPr>
          <w:rFonts w:ascii="Times New Roman" w:hAnsi="Times New Roman"/>
          <w:sz w:val="24"/>
          <w:szCs w:val="24"/>
          <w:lang w:eastAsia="ru-RU"/>
        </w:rPr>
        <w:t>При отсутствии технической возможности информационного обмена документами с применением электронной подписи обмен осуществляется с применением документооборота на бумажном носителе с одновременным представлением документов на машинном носителе, подписанных в соответствии с карточкой образцов подписей и оттиска печати.</w:t>
      </w:r>
    </w:p>
    <w:p w:rsidR="00617DAB" w:rsidRPr="0018436F" w:rsidRDefault="00617DAB" w:rsidP="00617DAB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9. </w:t>
      </w:r>
      <w:proofErr w:type="gramStart"/>
      <w:r w:rsidRPr="0018436F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Информация о муниципальных контрактах, контрактах учреждения, договорах (соглашениях), контрактах (договорах), о лицевых счетах участников казначейского сопровождения и об операциях по зачислению и списанию целевых средств, отраженных на лицевых счетах в порядке, установленном Федеральным казначейством Российской Федерации, ежедневно (в рабочие дни) финансовым органом представляется в подсистему информационно-аналитического обеспечения государственной интегрированной информационной системы управления общественными финансами </w:t>
      </w:r>
      <w:r w:rsidR="00B221BB" w:rsidRPr="0018436F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18436F">
        <w:rPr>
          <w:rFonts w:ascii="Times New Roman" w:hAnsi="Times New Roman"/>
          <w:bCs/>
          <w:sz w:val="24"/>
          <w:szCs w:val="24"/>
          <w:lang w:eastAsia="ru-RU"/>
        </w:rPr>
        <w:t>Электронный бюджет</w:t>
      </w:r>
      <w:r w:rsidR="00B221BB" w:rsidRPr="0018436F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18436F">
        <w:rPr>
          <w:rFonts w:ascii="Times New Roman" w:hAnsi="Times New Roman"/>
          <w:bCs/>
          <w:sz w:val="24"/>
          <w:szCs w:val="24"/>
          <w:lang w:eastAsia="ru-RU"/>
        </w:rPr>
        <w:t>, оператором которой является Федеральное</w:t>
      </w:r>
      <w:proofErr w:type="gramEnd"/>
      <w:r w:rsidRPr="0018436F">
        <w:rPr>
          <w:rFonts w:ascii="Times New Roman" w:hAnsi="Times New Roman"/>
          <w:bCs/>
          <w:sz w:val="24"/>
          <w:szCs w:val="24"/>
          <w:lang w:eastAsia="ru-RU"/>
        </w:rPr>
        <w:t xml:space="preserve"> казначейство Российской Федерации.</w:t>
      </w: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10</w:t>
      </w:r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случае если федеральными законами или решениями Правительства Российской Федерации, предусмотренными </w:t>
      </w:r>
      <w:hyperlink r:id="rId20" w:history="1">
        <w:r w:rsidRPr="004336B2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подпунктом 2 пункта 1 статьи 242.26</w:t>
        </w:r>
      </w:hyperlink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</w:t>
      </w:r>
      <w:proofErr w:type="spellStart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4336B2">
        <w:rPr>
          <w:rFonts w:ascii="Times New Roman" w:hAnsi="Times New Roman"/>
          <w:bCs/>
          <w:color w:val="000000"/>
          <w:sz w:val="24"/>
          <w:szCs w:val="24"/>
          <w:lang w:eastAsia="ru-RU"/>
        </w:rPr>
        <w:t>-частном партнерстве, положения настоящего Порядка распространяются на договоры (соглашения), контракты (договоры), источником финансового обеспечения которых являются указанные соглашения.</w:t>
      </w:r>
      <w:proofErr w:type="gramEnd"/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17DAB" w:rsidRPr="004336B2" w:rsidRDefault="00617DAB" w:rsidP="00617DAB">
      <w:pPr>
        <w:pStyle w:val="a5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244D8" w:rsidRPr="000A52AD" w:rsidRDefault="00617DAB" w:rsidP="00617DA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0A52AD">
        <w:rPr>
          <w:rFonts w:ascii="Times New Roman" w:hAnsi="Times New Roman"/>
          <w:sz w:val="24"/>
          <w:szCs w:val="24"/>
        </w:rPr>
        <w:t xml:space="preserve"> </w:t>
      </w:r>
    </w:p>
    <w:p w:rsidR="002D4913" w:rsidRPr="000A52AD" w:rsidRDefault="002D4913" w:rsidP="004D7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D4913" w:rsidRPr="000A52AD" w:rsidSect="001843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D48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B096AA8"/>
    <w:multiLevelType w:val="hybridMultilevel"/>
    <w:tmpl w:val="E0F6D26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F25263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B935D7C"/>
    <w:multiLevelType w:val="hybridMultilevel"/>
    <w:tmpl w:val="4950F46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2511345"/>
    <w:multiLevelType w:val="hybridMultilevel"/>
    <w:tmpl w:val="F7D6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17B1"/>
    <w:multiLevelType w:val="hybridMultilevel"/>
    <w:tmpl w:val="1C4A9B0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F23FC5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35428C5"/>
    <w:multiLevelType w:val="hybridMultilevel"/>
    <w:tmpl w:val="6C58D3B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276DF6"/>
    <w:multiLevelType w:val="multilevel"/>
    <w:tmpl w:val="D71CF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4E711B10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5235CE7"/>
    <w:multiLevelType w:val="hybridMultilevel"/>
    <w:tmpl w:val="AC0CE2C6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1501A9"/>
    <w:multiLevelType w:val="hybridMultilevel"/>
    <w:tmpl w:val="7C1C9CB8"/>
    <w:lvl w:ilvl="0" w:tplc="8EA6E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6E68B2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C347C55"/>
    <w:multiLevelType w:val="hybridMultilevel"/>
    <w:tmpl w:val="A024208A"/>
    <w:lvl w:ilvl="0" w:tplc="9E1C37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B23387"/>
    <w:multiLevelType w:val="hybridMultilevel"/>
    <w:tmpl w:val="6D40C7FC"/>
    <w:lvl w:ilvl="0" w:tplc="E7CAF0FA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0C1376"/>
    <w:multiLevelType w:val="multilevel"/>
    <w:tmpl w:val="6D40C7FC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FE4720"/>
    <w:multiLevelType w:val="hybridMultilevel"/>
    <w:tmpl w:val="AB52122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EC011B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6"/>
  </w:num>
  <w:num w:numId="14">
    <w:abstractNumId w:val="3"/>
  </w:num>
  <w:num w:numId="15">
    <w:abstractNumId w:val="10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1"/>
    <w:rsid w:val="00007F11"/>
    <w:rsid w:val="00033B14"/>
    <w:rsid w:val="00044397"/>
    <w:rsid w:val="00050D7F"/>
    <w:rsid w:val="00060151"/>
    <w:rsid w:val="000A52AD"/>
    <w:rsid w:val="000E1347"/>
    <w:rsid w:val="000F48C2"/>
    <w:rsid w:val="001077AF"/>
    <w:rsid w:val="00135CFA"/>
    <w:rsid w:val="001473E9"/>
    <w:rsid w:val="0018436F"/>
    <w:rsid w:val="0019139B"/>
    <w:rsid w:val="001A2611"/>
    <w:rsid w:val="001B2B74"/>
    <w:rsid w:val="001F6163"/>
    <w:rsid w:val="0029416A"/>
    <w:rsid w:val="002A49EF"/>
    <w:rsid w:val="002D4913"/>
    <w:rsid w:val="002F7347"/>
    <w:rsid w:val="00314CA9"/>
    <w:rsid w:val="00316D3E"/>
    <w:rsid w:val="0038549B"/>
    <w:rsid w:val="003873F2"/>
    <w:rsid w:val="003B64A8"/>
    <w:rsid w:val="003D200F"/>
    <w:rsid w:val="003D26AE"/>
    <w:rsid w:val="003D5A15"/>
    <w:rsid w:val="003E3CF6"/>
    <w:rsid w:val="00403538"/>
    <w:rsid w:val="00417FB4"/>
    <w:rsid w:val="0042024B"/>
    <w:rsid w:val="0043323A"/>
    <w:rsid w:val="00452736"/>
    <w:rsid w:val="004729FF"/>
    <w:rsid w:val="00476300"/>
    <w:rsid w:val="00476C9B"/>
    <w:rsid w:val="004B366E"/>
    <w:rsid w:val="004C2B20"/>
    <w:rsid w:val="004D7534"/>
    <w:rsid w:val="004E5DA8"/>
    <w:rsid w:val="004E6EDF"/>
    <w:rsid w:val="0050556F"/>
    <w:rsid w:val="005115F4"/>
    <w:rsid w:val="005362D0"/>
    <w:rsid w:val="005471B4"/>
    <w:rsid w:val="0058498D"/>
    <w:rsid w:val="005A1015"/>
    <w:rsid w:val="005A7F57"/>
    <w:rsid w:val="005B6EE5"/>
    <w:rsid w:val="005C6B7C"/>
    <w:rsid w:val="005D66B7"/>
    <w:rsid w:val="005E4AF0"/>
    <w:rsid w:val="006161B3"/>
    <w:rsid w:val="00617DAB"/>
    <w:rsid w:val="006234ED"/>
    <w:rsid w:val="00634113"/>
    <w:rsid w:val="00637D7B"/>
    <w:rsid w:val="00642805"/>
    <w:rsid w:val="006713D5"/>
    <w:rsid w:val="00672F5D"/>
    <w:rsid w:val="00682058"/>
    <w:rsid w:val="00705236"/>
    <w:rsid w:val="00707186"/>
    <w:rsid w:val="00764CA6"/>
    <w:rsid w:val="00771FB7"/>
    <w:rsid w:val="00782882"/>
    <w:rsid w:val="00787C6B"/>
    <w:rsid w:val="00795315"/>
    <w:rsid w:val="007D2491"/>
    <w:rsid w:val="008245F6"/>
    <w:rsid w:val="00827E98"/>
    <w:rsid w:val="00852D32"/>
    <w:rsid w:val="0086366F"/>
    <w:rsid w:val="008B02D3"/>
    <w:rsid w:val="008B1C91"/>
    <w:rsid w:val="008D4C93"/>
    <w:rsid w:val="008E4F1A"/>
    <w:rsid w:val="008E50A7"/>
    <w:rsid w:val="008F10A3"/>
    <w:rsid w:val="00905A71"/>
    <w:rsid w:val="009110FC"/>
    <w:rsid w:val="00917B9D"/>
    <w:rsid w:val="009300AD"/>
    <w:rsid w:val="00970F10"/>
    <w:rsid w:val="00972F5C"/>
    <w:rsid w:val="00990D5D"/>
    <w:rsid w:val="00990E2F"/>
    <w:rsid w:val="0099710D"/>
    <w:rsid w:val="009A05A0"/>
    <w:rsid w:val="009B0AEA"/>
    <w:rsid w:val="009B49F1"/>
    <w:rsid w:val="009B54F8"/>
    <w:rsid w:val="009D560B"/>
    <w:rsid w:val="009E2B04"/>
    <w:rsid w:val="009F192E"/>
    <w:rsid w:val="009F5EB8"/>
    <w:rsid w:val="00A03BB4"/>
    <w:rsid w:val="00A312B8"/>
    <w:rsid w:val="00A405CC"/>
    <w:rsid w:val="00A62231"/>
    <w:rsid w:val="00A9707A"/>
    <w:rsid w:val="00AB19ED"/>
    <w:rsid w:val="00AB58A1"/>
    <w:rsid w:val="00AC4F94"/>
    <w:rsid w:val="00AD7782"/>
    <w:rsid w:val="00AF1EB8"/>
    <w:rsid w:val="00AF6CFF"/>
    <w:rsid w:val="00B221BB"/>
    <w:rsid w:val="00B244D8"/>
    <w:rsid w:val="00BA184B"/>
    <w:rsid w:val="00BC2E6A"/>
    <w:rsid w:val="00BE428A"/>
    <w:rsid w:val="00C130A4"/>
    <w:rsid w:val="00C14808"/>
    <w:rsid w:val="00C178F6"/>
    <w:rsid w:val="00C21900"/>
    <w:rsid w:val="00C25A7B"/>
    <w:rsid w:val="00C348EF"/>
    <w:rsid w:val="00C4427D"/>
    <w:rsid w:val="00C459E7"/>
    <w:rsid w:val="00C5671D"/>
    <w:rsid w:val="00CA3A6F"/>
    <w:rsid w:val="00CC3371"/>
    <w:rsid w:val="00CD2EB4"/>
    <w:rsid w:val="00CE3324"/>
    <w:rsid w:val="00CF4D72"/>
    <w:rsid w:val="00D025F1"/>
    <w:rsid w:val="00D32748"/>
    <w:rsid w:val="00D5703B"/>
    <w:rsid w:val="00D67CAC"/>
    <w:rsid w:val="00D70898"/>
    <w:rsid w:val="00D8060F"/>
    <w:rsid w:val="00DA68C1"/>
    <w:rsid w:val="00DB0E97"/>
    <w:rsid w:val="00DB1162"/>
    <w:rsid w:val="00DD483F"/>
    <w:rsid w:val="00DE146A"/>
    <w:rsid w:val="00DE6047"/>
    <w:rsid w:val="00DF0DFD"/>
    <w:rsid w:val="00DF41CC"/>
    <w:rsid w:val="00E13E8A"/>
    <w:rsid w:val="00E40198"/>
    <w:rsid w:val="00E71D59"/>
    <w:rsid w:val="00E80F0E"/>
    <w:rsid w:val="00E910EF"/>
    <w:rsid w:val="00E91F95"/>
    <w:rsid w:val="00ED024E"/>
    <w:rsid w:val="00ED4066"/>
    <w:rsid w:val="00ED7010"/>
    <w:rsid w:val="00EE0BFF"/>
    <w:rsid w:val="00F12D41"/>
    <w:rsid w:val="00F16107"/>
    <w:rsid w:val="00F32D7D"/>
    <w:rsid w:val="00F622FE"/>
    <w:rsid w:val="00F8105D"/>
    <w:rsid w:val="00F96438"/>
    <w:rsid w:val="00F97AE5"/>
    <w:rsid w:val="00FB3FBE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F4D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7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17DA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F4D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7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17DA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A94B05A3B8ED194168EFCA6DF0753496835BC596F03580ADEF9AB336948DD63D7BD7D6060BCB90D2BC70C5FxBS7S" TargetMode="External"/><Relationship Id="rId13" Type="http://schemas.openxmlformats.org/officeDocument/2006/relationships/hyperlink" Target="consultantplus://offline/ref=983A94B05A3B8ED194168EFCA6DF0753496833BC5A6603580ADEF9AB336948DD71D7E5766768AAB25F64815950B49A0165F607D10CD0x9SES" TargetMode="External"/><Relationship Id="rId18" Type="http://schemas.openxmlformats.org/officeDocument/2006/relationships/hyperlink" Target="consultantplus://offline/ref=983A94B05A3B8ED194168EFCA6DF0753496833BC5A6603580ADEF9AB336948DD71D7E576676DA4B25F64815950B49A0165F607D10CD0x9SE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83A94B05A3B8ED194168EFCA6DF0753496833BC5A6603580ADEF9AB336948DD71D7E5766969AAB25F64815950B49A0165F607D10CD0x9SES" TargetMode="External"/><Relationship Id="rId12" Type="http://schemas.openxmlformats.org/officeDocument/2006/relationships/hyperlink" Target="consultantplus://offline/ref=983A94B05A3B8ED194168EFCA6DF0753496833BC5A6603580ADEF9AB336948DD71D7E576676EABB25F64815950B49A0165F607D10CD0x9SES" TargetMode="External"/><Relationship Id="rId17" Type="http://schemas.openxmlformats.org/officeDocument/2006/relationships/hyperlink" Target="consultantplus://offline/ref=983A94B05A3B8ED194168EFCA6DF0753496833BC5A6603580ADEF9AB336948DD71D7E576666EAAB25F64815950B49A0165F607D10CD0x9SE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3A94B05A3B8ED194168EFCA6DF0753496833BC5A6603580ADEF9AB336948DD71D7E576676EA3B25F64815950B49A0165F607D10CD0x9SES" TargetMode="External"/><Relationship Id="rId20" Type="http://schemas.openxmlformats.org/officeDocument/2006/relationships/hyperlink" Target="consultantplus://offline/ref=983A94B05A3B8ED194168EFCA6DF0753496833BC5A6603580ADEF9AB336948DD71D7E576676EABB25F64815950B49A0165F607D10CD0x9S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83A94B05A3B8ED194168EFCA6DF0753496833BC5A6603580ADEF9AB336948DD71D7E576676EA4B25F64815950B49A0165F607D10CD0x9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3A94B05A3B8ED194168EFCA6DF0753496833BC5A6603580ADEF9AB336948DD71D7E571606AA3BD093E915D19E19E1F6CEE19D512D09DF2x2SDS" TargetMode="External"/><Relationship Id="rId10" Type="http://schemas.openxmlformats.org/officeDocument/2006/relationships/hyperlink" Target="consultantplus://offline/ref=288EE3F9C4784F58DB8D5A3F4C18C982518E7EE7E92B538CA5DFDD01CAC96070293331B92122DFB06D98D98C4B32FFDF2315AD01DC6015FB61F50C6BaEQCS" TargetMode="External"/><Relationship Id="rId19" Type="http://schemas.openxmlformats.org/officeDocument/2006/relationships/hyperlink" Target="consultantplus://offline/ref=983A94B05A3B8ED194168EFCA6DF0753496B34BF5D6503580ADEF9AB336948DD63D7BD7D6060BCB90D2BC70C5FxBS7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EE3F9C4784F58DB8D5A3F4C18C982518E7EE7E92B538CA5DFDD01CAC96070293331B92122DFB06D98D98C4B32FFDF2315AD01DC6015FB61F50C6BaEQCS" TargetMode="External"/><Relationship Id="rId14" Type="http://schemas.openxmlformats.org/officeDocument/2006/relationships/hyperlink" Target="consultantplus://offline/ref=983A94B05A3B8ED194168EFCA6DF0753496833BC5A6603580ADEF9AB336948DD71D7E576666DA3B25F64815950B49A0165F607D10CD0x9S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11850</CharactersWithSpaces>
  <SharedDoc>false</SharedDoc>
  <HLinks>
    <vt:vector size="30" baseType="variant"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consultantplus://offline/ref=31BB9361F9C73367440DE92ABF0621CE5D93005E5DE2F2308571C31B1D7F1FD3A02515EADFB8B5EBT8b6I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consultantplus://offline/ref=3D205E9948838104E98A1BBCB5593713C74559FDD0B7C857C466BC4CD5v6uFM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Таратин</dc:creator>
  <cp:keywords/>
  <cp:lastModifiedBy>Финансист</cp:lastModifiedBy>
  <cp:revision>41</cp:revision>
  <cp:lastPrinted>2023-05-31T15:20:00Z</cp:lastPrinted>
  <dcterms:created xsi:type="dcterms:W3CDTF">2021-12-22T12:04:00Z</dcterms:created>
  <dcterms:modified xsi:type="dcterms:W3CDTF">2023-06-14T13:17:00Z</dcterms:modified>
</cp:coreProperties>
</file>